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7C" w:rsidRPr="00002B95" w:rsidRDefault="00206A7C" w:rsidP="00206A7C">
      <w:pPr>
        <w:spacing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bookmarkStart w:id="0" w:name="_Hlk53505397"/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DNA-ASSISTED STABILIZATION OF GRAPHENE SHEETS AND ITS APPLICATION AS SUPERCAPACITORS ELECTRODE </w:t>
      </w:r>
    </w:p>
    <w:bookmarkEnd w:id="0"/>
    <w:p w:rsidR="00206A7C" w:rsidRPr="00002B95" w:rsidRDefault="00206A7C" w:rsidP="00206A7C">
      <w:pPr>
        <w:tabs>
          <w:tab w:val="left" w:pos="615"/>
          <w:tab w:val="center" w:pos="4680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Cs w:val="24"/>
        </w:rPr>
      </w:pPr>
    </w:p>
    <w:p w:rsidR="00206A7C" w:rsidRPr="007F4C2B" w:rsidRDefault="00206A7C" w:rsidP="00206A7C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Yasin</w:t>
      </w:r>
      <w:proofErr w:type="spellEnd"/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M. Y. Albarqouni</w:t>
      </w:r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7F4C2B">
        <w:rPr>
          <w:rFonts w:ascii="Times New Roman" w:hAnsi="Times New Roman" w:cs="Times New Roman"/>
          <w:iCs/>
          <w:sz w:val="24"/>
          <w:szCs w:val="24"/>
        </w:rPr>
        <w:t>Gomaa</w:t>
      </w:r>
      <w:proofErr w:type="spellEnd"/>
      <w:r w:rsidRPr="007F4C2B">
        <w:rPr>
          <w:rFonts w:ascii="Times New Roman" w:hAnsi="Times New Roman" w:cs="Times New Roman"/>
          <w:iCs/>
          <w:sz w:val="24"/>
          <w:szCs w:val="24"/>
        </w:rPr>
        <w:t xml:space="preserve"> A. M. Ali</w:t>
      </w:r>
      <w:r w:rsidRPr="007F4C2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Soon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Lee</w:t>
      </w:r>
      <w:r w:rsidRPr="00F971B8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F4C2B">
        <w:rPr>
          <w:rFonts w:ascii="Times New Roman" w:hAnsi="Times New Roman" w:cs="Times New Roman"/>
          <w:iCs/>
          <w:sz w:val="24"/>
          <w:szCs w:val="24"/>
        </w:rPr>
        <w:t>Rahim Mohd-Hairul</w:t>
      </w:r>
      <w:r w:rsidRPr="007F4C2B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7F4C2B">
        <w:rPr>
          <w:rFonts w:ascii="Times New Roman" w:hAnsi="Times New Roman" w:cs="Times New Roman"/>
          <w:iCs/>
          <w:sz w:val="24"/>
          <w:szCs w:val="24"/>
        </w:rPr>
        <w:t>, Kwok Feng Chong</w:t>
      </w:r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Pr="007F4C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*</w:t>
      </w:r>
    </w:p>
    <w:p w:rsidR="00206A7C" w:rsidRPr="00002B95" w:rsidRDefault="00206A7C" w:rsidP="00206A7C">
      <w:pPr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sz w:val="24"/>
          <w:szCs w:val="24"/>
          <w:vertAlign w:val="superscript"/>
        </w:rPr>
      </w:pPr>
    </w:p>
    <w:p w:rsidR="00206A7C" w:rsidRPr="003E46AB" w:rsidRDefault="00206A7C" w:rsidP="00206A7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bookmarkStart w:id="1" w:name="_Hlk53505576"/>
      <w:r w:rsidRPr="003E46AB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Faculty of Industrial Sciences &amp; Technology, </w:t>
      </w:r>
      <w:proofErr w:type="spellStart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Universiti</w:t>
      </w:r>
      <w:proofErr w:type="spellEnd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Malaysia Pahang, </w:t>
      </w:r>
      <w:proofErr w:type="spellStart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Gambang</w:t>
      </w:r>
      <w:proofErr w:type="spellEnd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, 26300 Kuantan, Malaysia</w:t>
      </w:r>
    </w:p>
    <w:p w:rsidR="00206A7C" w:rsidRPr="003E46AB" w:rsidRDefault="00206A7C" w:rsidP="00206A7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E46AB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Chemistry Department, Faculty of Science, Al‒</w:t>
      </w:r>
      <w:proofErr w:type="spellStart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Azhar</w:t>
      </w:r>
      <w:proofErr w:type="spellEnd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University, </w:t>
      </w:r>
      <w:proofErr w:type="spellStart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Assiut</w:t>
      </w:r>
      <w:proofErr w:type="spellEnd"/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>, 71524, Egypt</w:t>
      </w:r>
    </w:p>
    <w:bookmarkEnd w:id="1"/>
    <w:p w:rsidR="00206A7C" w:rsidRPr="003E46AB" w:rsidRDefault="00206A7C" w:rsidP="00206A7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206A7C" w:rsidRDefault="00206A7C" w:rsidP="00206A7C">
      <w:pPr>
        <w:autoSpaceDE w:val="0"/>
        <w:autoSpaceDN w:val="0"/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</w:pPr>
      <w:r w:rsidRPr="003E46AB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* Corresponding author: </w:t>
      </w:r>
      <w:hyperlink r:id="rId4" w:history="1">
        <w:r w:rsidRPr="003E46AB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ckfeng@ump.edu.my</w:t>
        </w:r>
      </w:hyperlink>
    </w:p>
    <w:p w:rsidR="00206A7C" w:rsidRDefault="00206A7C" w:rsidP="00206A7C">
      <w:pPr>
        <w:autoSpaceDE w:val="0"/>
        <w:autoSpaceDN w:val="0"/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6A7C" w:rsidRPr="003E46AB" w:rsidRDefault="00206A7C" w:rsidP="00206A7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u w:val="single"/>
        </w:rPr>
      </w:pPr>
    </w:p>
    <w:p w:rsidR="0033271E" w:rsidRDefault="0033271E"/>
    <w:p w:rsidR="00206A7C" w:rsidRDefault="00206A7C" w:rsidP="00206A7C">
      <w:pPr>
        <w:spacing w:after="0" w:line="480" w:lineRule="auto"/>
        <w:jc w:val="both"/>
      </w:pPr>
      <w:r>
        <w:t xml:space="preserve">The work reports on the formation of </w:t>
      </w:r>
      <w:proofErr w:type="spellStart"/>
      <w:r>
        <w:t>rGO</w:t>
      </w:r>
      <w:proofErr w:type="spellEnd"/>
      <w:r>
        <w:t xml:space="preserve">/ssDNA composite by stabilizing </w:t>
      </w:r>
      <w:proofErr w:type="spellStart"/>
      <w:r>
        <w:t>rGO</w:t>
      </w:r>
      <w:proofErr w:type="spellEnd"/>
      <w:r>
        <w:t xml:space="preserve"> sheets in an</w:t>
      </w:r>
      <w:r>
        <w:t xml:space="preserve"> </w:t>
      </w:r>
      <w:r>
        <w:t>aqueous solution containing ssDNA extracted from baker’s yeast culture. The as-formed</w:t>
      </w:r>
      <w:r>
        <w:t xml:space="preserve"> </w:t>
      </w:r>
      <w:proofErr w:type="spellStart"/>
      <w:r>
        <w:t>rGO</w:t>
      </w:r>
      <w:proofErr w:type="spellEnd"/>
      <w:r>
        <w:t>/ssDNA composite is verified using spectroscopic and microscopic techniques, including</w:t>
      </w:r>
      <w:r>
        <w:t xml:space="preserve"> </w:t>
      </w:r>
      <w:r>
        <w:t>Fourier transform infrared (FTIR), Raman, and photoluminescence (PL) spectroscopies, and</w:t>
      </w:r>
      <w:r>
        <w:t xml:space="preserve"> </w:t>
      </w:r>
      <w:r>
        <w:t>field emission scanning electron microscope (FESEM). Physical investigations show the</w:t>
      </w:r>
      <w:r>
        <w:t xml:space="preserve"> </w:t>
      </w:r>
      <w:r>
        <w:t xml:space="preserve">successful stabilization of </w:t>
      </w:r>
      <w:proofErr w:type="spellStart"/>
      <w:r>
        <w:t>rGO</w:t>
      </w:r>
      <w:proofErr w:type="spellEnd"/>
      <w:r>
        <w:t xml:space="preserve"> suspension by ssDNA for more than a month without the </w:t>
      </w:r>
      <w:proofErr w:type="spellStart"/>
      <w:r>
        <w:t>rGO</w:t>
      </w:r>
      <w:proofErr w:type="spellEnd"/>
      <w:r>
        <w:t xml:space="preserve"> </w:t>
      </w:r>
      <w:r>
        <w:t>sheets precipitation. The highly charged backbone of ssDNA comprising phosphate groups,</w:t>
      </w:r>
      <w:r>
        <w:t xml:space="preserve"> </w:t>
      </w:r>
      <w:r>
        <w:t xml:space="preserve">nucleic-bases, and sugar molecules contribute to the </w:t>
      </w:r>
      <w:proofErr w:type="spellStart"/>
      <w:r>
        <w:t>rGO</w:t>
      </w:r>
      <w:proofErr w:type="spellEnd"/>
      <w:r>
        <w:t xml:space="preserve"> stabilization and could be potential</w:t>
      </w:r>
      <w:r>
        <w:t xml:space="preserve"> </w:t>
      </w:r>
      <w:r>
        <w:t>electrode material for charge storage supercapacitor. The electrochemical investigations confirm</w:t>
      </w:r>
      <w:r>
        <w:t xml:space="preserve"> </w:t>
      </w:r>
      <w:r>
        <w:t xml:space="preserve">the electrochemical double-layer capacitance behavior of </w:t>
      </w:r>
      <w:proofErr w:type="spellStart"/>
      <w:r>
        <w:t>rGO</w:t>
      </w:r>
      <w:proofErr w:type="spellEnd"/>
      <w:r>
        <w:t>/ssDNA composite in KOH</w:t>
      </w:r>
      <w:r>
        <w:t xml:space="preserve"> e</w:t>
      </w:r>
      <w:r>
        <w:t xml:space="preserve">lectrolyte, where nearly 2-fold capacitance enhancement is observed compared to pure </w:t>
      </w:r>
      <w:proofErr w:type="spellStart"/>
      <w:r>
        <w:t>rGO</w:t>
      </w:r>
      <w:proofErr w:type="spellEnd"/>
      <w:r>
        <w:t>.</w:t>
      </w:r>
    </w:p>
    <w:p w:rsidR="00206A7C" w:rsidRDefault="00206A7C" w:rsidP="00206A7C">
      <w:pPr>
        <w:spacing w:after="0" w:line="480" w:lineRule="auto"/>
        <w:jc w:val="both"/>
      </w:pPr>
    </w:p>
    <w:p w:rsidR="00206A7C" w:rsidRDefault="00206A7C" w:rsidP="00206A7C">
      <w:pPr>
        <w:spacing w:after="0" w:line="480" w:lineRule="auto"/>
        <w:jc w:val="both"/>
      </w:pPr>
      <w:r>
        <w:t>The oxygen residues on ssDNA are proven to contribute to the electrochemically active surface</w:t>
      </w:r>
      <w:r>
        <w:t xml:space="preserve"> </w:t>
      </w:r>
      <w:r>
        <w:t xml:space="preserve">area of </w:t>
      </w:r>
      <w:proofErr w:type="spellStart"/>
      <w:r>
        <w:t>rGO</w:t>
      </w:r>
      <w:proofErr w:type="spellEnd"/>
      <w:r>
        <w:t>/ssDNA. By virtue of the proposed material and approach simplicity and</w:t>
      </w:r>
      <w:r>
        <w:t xml:space="preserve"> </w:t>
      </w:r>
      <w:r>
        <w:t>environmentally benign, it can be considered as a promising candidate for further processing and</w:t>
      </w:r>
      <w:r>
        <w:t xml:space="preserve"> </w:t>
      </w:r>
      <w:r>
        <w:t>practical applications of bio-supercapacitors.</w:t>
      </w:r>
    </w:p>
    <w:p w:rsidR="00206A7C" w:rsidRDefault="00206A7C" w:rsidP="00206A7C">
      <w:pPr>
        <w:spacing w:line="480" w:lineRule="auto"/>
      </w:pPr>
    </w:p>
    <w:p w:rsidR="00206A7C" w:rsidRDefault="00206A7C" w:rsidP="00206A7C">
      <w:r>
        <w:t>Key words: DNA; Graphene; Bio-supercapacitor.</w:t>
      </w:r>
    </w:p>
    <w:p w:rsidR="00206A7C" w:rsidRPr="00206A7C" w:rsidRDefault="00206A7C" w:rsidP="00206A7C">
      <w:pPr>
        <w:spacing w:line="720" w:lineRule="auto"/>
        <w:jc w:val="both"/>
        <w:rPr>
          <w:b/>
          <w:bCs/>
        </w:rPr>
      </w:pPr>
      <w:r w:rsidRPr="00206A7C">
        <w:rPr>
          <w:b/>
          <w:bCs/>
        </w:rPr>
        <w:lastRenderedPageBreak/>
        <w:t>ACKNOWLEDGEMENT</w:t>
      </w:r>
    </w:p>
    <w:p w:rsidR="00206A7C" w:rsidRPr="00206A7C" w:rsidRDefault="00206A7C" w:rsidP="00206A7C">
      <w:pPr>
        <w:spacing w:line="720" w:lineRule="auto"/>
        <w:jc w:val="both"/>
        <w:rPr>
          <w:rtl/>
        </w:rPr>
      </w:pPr>
      <w:r w:rsidRPr="00206A7C">
        <w:t>The authors would like to acknowledge the funding from the Ministry of Education Malaysia in the form of [RDU1901186</w:t>
      </w:r>
      <w:proofErr w:type="gramStart"/>
      <w:r w:rsidRPr="00206A7C">
        <w:t>:FRGS</w:t>
      </w:r>
      <w:proofErr w:type="gramEnd"/>
      <w:r w:rsidRPr="00206A7C">
        <w:t xml:space="preserve">/1/2019/STG07/UMP/02/6] and Malaysia Toray Science Foundation grant RDU201502. </w:t>
      </w:r>
    </w:p>
    <w:p w:rsidR="00206A7C" w:rsidRPr="00206A7C" w:rsidRDefault="00206A7C" w:rsidP="00206A7C">
      <w:pPr>
        <w:spacing w:line="720" w:lineRule="auto"/>
        <w:jc w:val="both"/>
        <w:rPr>
          <w:b/>
        </w:rPr>
      </w:pPr>
      <w:r w:rsidRPr="00206A7C">
        <w:rPr>
          <w:b/>
        </w:rPr>
        <w:t>Ethics declarations: Conflict of interest</w:t>
      </w:r>
    </w:p>
    <w:p w:rsidR="00206A7C" w:rsidRDefault="00206A7C" w:rsidP="00206A7C">
      <w:pPr>
        <w:spacing w:line="720" w:lineRule="auto"/>
        <w:jc w:val="both"/>
      </w:pPr>
      <w:r w:rsidRPr="00206A7C">
        <w:t>The authors declare that they have no conflict of interest.</w:t>
      </w:r>
    </w:p>
    <w:p w:rsidR="00206A7C" w:rsidRDefault="00206A7C" w:rsidP="00206A7C">
      <w:pPr>
        <w:spacing w:line="720" w:lineRule="auto"/>
        <w:jc w:val="both"/>
      </w:pPr>
    </w:p>
    <w:p w:rsidR="00206A7C" w:rsidRDefault="00206A7C" w:rsidP="00206A7C">
      <w:pPr>
        <w:spacing w:line="720" w:lineRule="auto"/>
        <w:jc w:val="both"/>
      </w:pPr>
      <w:bookmarkStart w:id="2" w:name="_GoBack"/>
      <w:bookmarkEnd w:id="2"/>
      <w:r>
        <w:t xml:space="preserve">REFERENCE </w:t>
      </w:r>
    </w:p>
    <w:p w:rsidR="00206A7C" w:rsidRDefault="00206A7C" w:rsidP="00206A7C">
      <w:pPr>
        <w:spacing w:line="720" w:lineRule="auto"/>
        <w:jc w:val="both"/>
      </w:pPr>
      <w:r>
        <w:t>1.</w:t>
      </w:r>
      <w:r>
        <w:tab/>
        <w:t xml:space="preserve">Burley G.A., </w:t>
      </w:r>
      <w:proofErr w:type="spellStart"/>
      <w:r>
        <w:t>Gierlich</w:t>
      </w:r>
      <w:proofErr w:type="spellEnd"/>
      <w:r>
        <w:t xml:space="preserve"> J., </w:t>
      </w:r>
      <w:proofErr w:type="spellStart"/>
      <w:r>
        <w:t>Mofid</w:t>
      </w:r>
      <w:proofErr w:type="spellEnd"/>
      <w:r>
        <w:t xml:space="preserve"> M.R., </w:t>
      </w:r>
      <w:proofErr w:type="spellStart"/>
      <w:r>
        <w:t>Nir</w:t>
      </w:r>
      <w:proofErr w:type="spellEnd"/>
      <w:r>
        <w:t xml:space="preserve"> H., Tal S., </w:t>
      </w:r>
      <w:proofErr w:type="spellStart"/>
      <w:r>
        <w:t>Eichen</w:t>
      </w:r>
      <w:proofErr w:type="spellEnd"/>
      <w:r>
        <w:t xml:space="preserve"> Y., Carell T. (2006) Directed DNA metallization, J. Am. Chem. Soc. 128, 1398–1399.</w:t>
      </w:r>
    </w:p>
    <w:p w:rsidR="00206A7C" w:rsidRDefault="00206A7C" w:rsidP="00206A7C">
      <w:pPr>
        <w:spacing w:line="720" w:lineRule="auto"/>
        <w:jc w:val="both"/>
      </w:pPr>
      <w:r>
        <w:t>2.</w:t>
      </w:r>
      <w:r>
        <w:tab/>
        <w:t xml:space="preserve">Liu J., </w:t>
      </w:r>
      <w:proofErr w:type="spellStart"/>
      <w:r>
        <w:t>Geng</w:t>
      </w:r>
      <w:proofErr w:type="spellEnd"/>
      <w:r>
        <w:t xml:space="preserve"> Y., Pound E., </w:t>
      </w:r>
      <w:proofErr w:type="spellStart"/>
      <w:r>
        <w:t>Gyawali</w:t>
      </w:r>
      <w:proofErr w:type="spellEnd"/>
      <w:r>
        <w:t xml:space="preserve"> S., Ashton J.R., Hickey J., Woolley A.T., </w:t>
      </w:r>
      <w:proofErr w:type="spellStart"/>
      <w:r>
        <w:t>Harb</w:t>
      </w:r>
      <w:proofErr w:type="spellEnd"/>
      <w:r>
        <w:t xml:space="preserve"> J.N. (2005) Metallization of branched DNA origami for </w:t>
      </w:r>
      <w:proofErr w:type="spellStart"/>
      <w:r>
        <w:t>nanoelectronic</w:t>
      </w:r>
      <w:proofErr w:type="spellEnd"/>
      <w:r>
        <w:t xml:space="preserve"> circuit fabrication, ACS Nano. 5</w:t>
      </w:r>
      <w:proofErr w:type="gramStart"/>
      <w:r>
        <w:t>,  2240</w:t>
      </w:r>
      <w:proofErr w:type="gramEnd"/>
      <w:r>
        <w:t>–2247.</w:t>
      </w:r>
    </w:p>
    <w:p w:rsidR="00206A7C" w:rsidRDefault="00206A7C" w:rsidP="00206A7C">
      <w:pPr>
        <w:spacing w:line="720" w:lineRule="auto"/>
        <w:jc w:val="both"/>
      </w:pPr>
      <w:r>
        <w:t>3.</w:t>
      </w:r>
      <w:r>
        <w:tab/>
        <w:t xml:space="preserve">Kwon Y.W., Lee C.H., Choi D.H., </w:t>
      </w:r>
      <w:proofErr w:type="spellStart"/>
      <w:r>
        <w:t>Jin</w:t>
      </w:r>
      <w:proofErr w:type="spellEnd"/>
      <w:r>
        <w:t xml:space="preserve"> J. Il (2009) Materials science of DNA, J. Mater. Chem. 19, 1353–1380.</w:t>
      </w:r>
    </w:p>
    <w:sectPr w:rsidR="0020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C"/>
    <w:rsid w:val="00206A7C"/>
    <w:rsid w:val="003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75B48-9E83-4337-B047-099760A9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ir@us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2020-12-29T07:45:00Z</dcterms:created>
  <dcterms:modified xsi:type="dcterms:W3CDTF">2020-12-29T07:53:00Z</dcterms:modified>
</cp:coreProperties>
</file>