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487" w:rsidRPr="009C541F" w:rsidRDefault="00986BA2">
      <w:pPr>
        <w:pStyle w:val="Title"/>
      </w:pPr>
      <w:r>
        <w:t>Effects of different processing para</w:t>
      </w:r>
      <w:bookmarkStart w:id="0" w:name="_GoBack"/>
      <w:bookmarkEnd w:id="0"/>
      <w:r>
        <w:t>meters on the semisolid microstructure of Al6061 produced by a direct thermal method</w:t>
      </w:r>
    </w:p>
    <w:p w:rsidR="009A0487" w:rsidRPr="00986BA2" w:rsidRDefault="00986BA2">
      <w:pPr>
        <w:pStyle w:val="Authors"/>
        <w:rPr>
          <w:vertAlign w:val="superscript"/>
        </w:rPr>
      </w:pPr>
      <w:r>
        <w:t>M. F. M. Tajudin</w:t>
      </w:r>
      <w:r>
        <w:rPr>
          <w:vertAlign w:val="superscript"/>
        </w:rPr>
        <w:t>1</w:t>
      </w:r>
      <w:r>
        <w:t>, *A. H. Ahmad</w:t>
      </w:r>
      <w:r>
        <w:rPr>
          <w:vertAlign w:val="superscript"/>
        </w:rPr>
        <w:t>1</w:t>
      </w:r>
      <w:r>
        <w:t>, M. M. Rashidi</w:t>
      </w:r>
      <w:r>
        <w:rPr>
          <w:vertAlign w:val="superscript"/>
        </w:rPr>
        <w:t>2</w:t>
      </w:r>
    </w:p>
    <w:p w:rsidR="009A0487" w:rsidRDefault="00986BA2" w:rsidP="00006EA6">
      <w:pPr>
        <w:pStyle w:val="Addresses"/>
        <w:spacing w:after="0"/>
      </w:pPr>
      <w:r>
        <w:rPr>
          <w:vertAlign w:val="superscript"/>
        </w:rPr>
        <w:t>1</w:t>
      </w:r>
      <w:r>
        <w:t>Department of Mechanical Engineering. College of Engineering, Universiti Malaysia Pahang, 25150 Kuantan, Pahang, Malaysia</w:t>
      </w:r>
    </w:p>
    <w:p w:rsidR="00986BA2" w:rsidRPr="00986BA2" w:rsidRDefault="00986BA2" w:rsidP="00986BA2">
      <w:pPr>
        <w:pStyle w:val="E-mail"/>
        <w:rPr>
          <w:lang w:val="en-GB"/>
        </w:rPr>
      </w:pPr>
      <w:r>
        <w:rPr>
          <w:vertAlign w:val="superscript"/>
          <w:lang w:val="en-GB"/>
        </w:rPr>
        <w:t>2</w:t>
      </w:r>
      <w:r>
        <w:rPr>
          <w:lang w:val="en-GB"/>
        </w:rPr>
        <w:t>Faculty of Mechanical and Automotive Engineering Technology, Universiti Malaysia Pahang, 26600 Pekan, Pahang, Malaysia</w:t>
      </w:r>
    </w:p>
    <w:p w:rsidR="00006EA6" w:rsidRDefault="00006EA6">
      <w:pPr>
        <w:pStyle w:val="E-mail"/>
      </w:pPr>
    </w:p>
    <w:p w:rsidR="00986BA2" w:rsidRPr="00986BA2" w:rsidRDefault="00986BA2" w:rsidP="00986BA2">
      <w:pPr>
        <w:pStyle w:val="E-mail"/>
      </w:pPr>
      <w:r>
        <w:t>*Corresponding author: asnul@ump.edu.my</w:t>
      </w:r>
    </w:p>
    <w:p w:rsidR="009A0487" w:rsidRDefault="009A0487">
      <w:pPr>
        <w:pStyle w:val="Abstract"/>
      </w:pPr>
      <w:r>
        <w:rPr>
          <w:b/>
        </w:rPr>
        <w:t>Abstract</w:t>
      </w:r>
      <w:r>
        <w:t xml:space="preserve">. </w:t>
      </w:r>
      <w:r w:rsidR="00986BA2" w:rsidRPr="00986BA2">
        <w:t>The effect of different processing parameters consist of pouring temperature and holding time on th</w:t>
      </w:r>
      <w:r w:rsidR="00447A01">
        <w:t>e semisolid microstructure of Al</w:t>
      </w:r>
      <w:r w:rsidR="00986BA2" w:rsidRPr="00986BA2">
        <w:t>6061 feedstock billet produced by direct thermal method has been investigated in the present paper</w:t>
      </w:r>
      <w:r w:rsidR="00986BA2">
        <w:t>.</w:t>
      </w:r>
      <w:r w:rsidR="00986BA2" w:rsidRPr="00986BA2">
        <w:t xml:space="preserve"> In this experimental works, molten alumin</w:t>
      </w:r>
      <w:r w:rsidR="00E42898">
        <w:t>i</w:t>
      </w:r>
      <w:r w:rsidR="00986BA2" w:rsidRPr="00986BA2">
        <w:t>um alloy 6061 was poured into a thin cylindrical copper mould at a constant temperature of 660 °C and held at different holding time</w:t>
      </w:r>
      <w:r w:rsidR="00447A01">
        <w:t>s</w:t>
      </w:r>
      <w:r w:rsidR="00986BA2" w:rsidRPr="00986BA2">
        <w:t xml:space="preserve"> of 20 s, 40 s</w:t>
      </w:r>
      <w:r w:rsidR="00447A01">
        <w:t>,</w:t>
      </w:r>
      <w:r w:rsidR="00986BA2" w:rsidRPr="00986BA2">
        <w:t xml:space="preserve"> and 60 s</w:t>
      </w:r>
      <w:r w:rsidR="00986BA2">
        <w:t xml:space="preserve">. </w:t>
      </w:r>
      <w:r w:rsidR="00986BA2" w:rsidRPr="00986BA2">
        <w:t>After it reached the desired holding time, the copper mould was then quenched into room temperature water. The microstructure formation of feedstock billets was characterized after the feedstock billets were taken out from the mo</w:t>
      </w:r>
      <w:r w:rsidR="00E42898">
        <w:t>u</w:t>
      </w:r>
      <w:r w:rsidR="00986BA2" w:rsidRPr="00986BA2">
        <w:t xml:space="preserve">ld. Results show that, due to </w:t>
      </w:r>
      <w:r w:rsidR="00447A01">
        <w:t xml:space="preserve">the </w:t>
      </w:r>
      <w:r w:rsidR="00986BA2" w:rsidRPr="00986BA2">
        <w:t>rapid cooling condition of the molten 6061 inside the copper mo</w:t>
      </w:r>
      <w:r w:rsidR="00E42898">
        <w:t>u</w:t>
      </w:r>
      <w:r w:rsidR="00986BA2" w:rsidRPr="00986BA2">
        <w:t>ld, more globular microstructures were obtained</w:t>
      </w:r>
      <w:r w:rsidR="00447A01">
        <w:t xml:space="preserve">. </w:t>
      </w:r>
      <w:r w:rsidR="00447A01" w:rsidRPr="00447A01">
        <w:t xml:space="preserve">The sample produced with a pouring temperature of 660 °C and holding time of 20 s, globular microstructure were apparent. </w:t>
      </w:r>
      <w:r w:rsidR="00447A01">
        <w:t>Simultaneously</w:t>
      </w:r>
      <w:r w:rsidR="00447A01" w:rsidRPr="00447A01">
        <w:t xml:space="preserve">, the sample with </w:t>
      </w:r>
      <w:r w:rsidR="00447A01">
        <w:t xml:space="preserve">a </w:t>
      </w:r>
      <w:r w:rsidR="00447A01" w:rsidRPr="00447A01">
        <w:t xml:space="preserve">pouring temperature </w:t>
      </w:r>
      <w:r w:rsidR="00E42898">
        <w:br/>
      </w:r>
      <w:r w:rsidR="00447A01" w:rsidRPr="00447A01">
        <w:t xml:space="preserve">of 660 °C and </w:t>
      </w:r>
      <w:r w:rsidR="00447A01">
        <w:t>a holding time of 20 s produced smaller grain size than the sample with a pouring temperature of 660 °C and a</w:t>
      </w:r>
      <w:r w:rsidR="00447A01" w:rsidRPr="00447A01">
        <w:t xml:space="preserve"> holding time of 40 s and 60 s</w:t>
      </w:r>
      <w:r w:rsidR="00447A01">
        <w:t>. Based on the results, the</w:t>
      </w:r>
      <w:r w:rsidR="00447A01" w:rsidRPr="00447A01">
        <w:t xml:space="preserve"> globular microstructures were superior at </w:t>
      </w:r>
      <w:r w:rsidR="00447A01">
        <w:t xml:space="preserve">a </w:t>
      </w:r>
      <w:r w:rsidR="00447A01" w:rsidRPr="00447A01">
        <w:t>shorter holding time</w:t>
      </w:r>
      <w:r w:rsidR="00447A01">
        <w:t>,</w:t>
      </w:r>
      <w:r w:rsidR="00447A01" w:rsidRPr="00447A01">
        <w:t xml:space="preserve"> which allowed </w:t>
      </w:r>
      <w:r w:rsidR="00447A01">
        <w:t>them</w:t>
      </w:r>
      <w:r w:rsidR="00447A01" w:rsidRPr="00447A01">
        <w:t xml:space="preserve"> to be quenched faster into room temperature water. The results from this experimental works suggest that the DTM feedstock billet globular microstructure formation merely depended on the heat convection of the molten alloy out from the copper mould. The faster heat</w:t>
      </w:r>
      <w:r w:rsidR="00E42898">
        <w:t xml:space="preserve"> convection</w:t>
      </w:r>
      <w:r w:rsidR="00447A01" w:rsidRPr="00447A01">
        <w:t xml:space="preserve"> out from the molten alloy</w:t>
      </w:r>
      <w:r w:rsidR="00E42898">
        <w:t xml:space="preserve"> which</w:t>
      </w:r>
      <w:r w:rsidR="00447A01" w:rsidRPr="00447A01">
        <w:t xml:space="preserve"> retard</w:t>
      </w:r>
      <w:r w:rsidR="00E42898">
        <w:t>ed</w:t>
      </w:r>
      <w:r w:rsidR="00447A01" w:rsidRPr="00447A01">
        <w:t xml:space="preserve"> the formation of dendritic microstructure thus transformed it into </w:t>
      </w:r>
      <w:r w:rsidR="00E42898">
        <w:t xml:space="preserve">a </w:t>
      </w:r>
      <w:r w:rsidR="00447A01" w:rsidRPr="00447A01">
        <w:t>globular microstructure for semisolid metal processing</w:t>
      </w:r>
      <w:r w:rsidR="00E42898">
        <w:t>.</w:t>
      </w:r>
    </w:p>
    <w:p w:rsidR="009A0487" w:rsidRDefault="00447A01">
      <w:pPr>
        <w:pStyle w:val="Section"/>
      </w:pPr>
      <w:r>
        <w:t xml:space="preserve">Introduction </w:t>
      </w:r>
    </w:p>
    <w:p w:rsidR="00324D40" w:rsidRDefault="007219AC" w:rsidP="007219AC">
      <w:pPr>
        <w:pStyle w:val="BodytextIndented"/>
        <w:ind w:firstLine="0"/>
      </w:pPr>
      <w:r>
        <w:t>Flemings and Spencer first discovered SSM processing</w:t>
      </w:r>
      <w:r w:rsidR="00324D40" w:rsidRPr="00324D40">
        <w:t xml:space="preserve"> at the Massachusetts Institute of Technology (MIT) in 1971 </w:t>
      </w:r>
      <w:r w:rsidR="00324C03">
        <w:fldChar w:fldCharType="begin" w:fldLock="1"/>
      </w:r>
      <w:r w:rsidR="00324C03">
        <w:instrText>ADDIN CSL_CITATION {"citationItems":[{"id":"ITEM-1","itemData":{"DOI":"10.1016/j.matdes.2020.108990","ISSN":"0264-1275","author":[{"dropping-particle":"","family":"Chang","given":"Zhiyu","non-dropping-particle":"","parse-names":false,"suffix":""},{"dropping-particle":"","family":"Su","given":"Ning","non-dropping-particle":"","parse-names":false,"suffix":""},{"dropping-particle":"","family":"Wu","given":"Yujuan","non-dropping-particle":"","parse-names":false,"suffix":""},{"dropping-particle":"","family":"Lan","given":"Qiao","non-dropping-particle":"","parse-names":false,"suffix":""},{"dropping-particle":"","family":"Peng","given":"Liming","non-dropping-particle":"","parse-names":false,"suffix":""},{"dropping-particle":"","family":"Ding","given":"Wenjiang","non-dropping-particle":"","parse-names":false,"suffix":""}],"container-title":"Materials &amp; Design","id":"ITEM-1","issued":{"date-parts":[["2020"]]},"page":"108990","publisher":"The Author(s)","title":"Semisolid rheoforming of magnesium alloys : A review","type":"article-journal","volume":"195"},"uris":["http://www.mendeley.com/documents/?uuid=b7410a49-44ae-4c3c-9e91-9848fe2bd375"]},{"id":"ITEM-2","itemData":{"DOI":"10.1016/j.matdes.2020.108859","ISSN":"0264-1275","author":[{"dropping-particle":"","family":"Jiang","given":"Jufu","non-dropping-particle":"","parse-names":false,"suffix":""},{"dropping-particle":"","family":"Zhang","given":"Ying","non-dropping-particle":"","parse-names":false,"suffix":""},{"dropping-particle":"","family":"Wang","given":"Ying","non-dropping-particle":"","parse-names":false,"suffix":""},{"dropping-particle":"","family":"Xiao","given":"Guanfei","non-dropping-particle":"","parse-names":false,"suffix":""},{"dropping-particle":"","family":"Liu","given":"Yingze","non-dropping-particle":"","parse-names":false,"suffix":""},{"dropping-particle":"","family":"Zeng","given":"Li","non-dropping-particle":"","parse-names":false,"suffix":""}],"container-title":"Materials &amp; Design","id":"ITEM-2","issued":{"date-parts":[["2020"]]},"page":"108859","publisher":"The Authors","title":"Microstructure and mechanical properties of thixoforged complex box-type component of 2A12 aluminum alloy","type":"article-journal","volume":"193"},"uris":["http://www.mendeley.com/documents/?uuid=f6d1deb4-1df8-40d1-9261-bd3311db625c"]},{"id":"ITEM-3","itemData":{"author":[{"dropping-particle":"","family":"Rosso","given":"M","non-dropping-particle":"","parse-names":false,"suffix":""},{"dropping-particle":"","family":"Peter","given":"I","non-dropping-particle":"","parse-names":false,"suffix":""},{"dropping-particle":"","family":"Torino","given":"Politecnico","non-dropping-particle":"","parse-names":false,"suffix":""}],"id":"ITEM-3","issued":{"date-parts":[["2013"]]},"title":"New frontiers for thixoforming","type":"article-journal","volume":"8"},"uris":["http://www.mendeley.com/documents/?uuid=a0467cc9-9e9e-4136-bb41-05e395c58085"]},{"id":"ITEM-4","itemData":{"author":[{"dropping-particle":"","family":"Ahmad","given":"A. H.","non-dropping-particle":"","parse-names":false,"suffix":""}],"id":"ITEM-4","issue":"January","issued":{"date-parts":[["2015"]]},"title":"Effect of Temporal Thermal Field on Quality of Semi-solid Metal Formed Components","type":"article-journal"},"uris":["http://www.mendeley.com/documents/?uuid=a5a6f608-bdaf-4bbe-b9fb-deb7e2e27fd8"]},{"id":"ITEM-5","itemData":{"author":[{"dropping-particle":"","family":"Abdulrazaq","given":"Mohammed N","non-dropping-particle":"","parse-names":false,"suffix":""}],"id":"ITEM-5","issue":"January","issued":{"date-parts":[["2014"]]},"title":"An Overview of Semi-Solid Metal Processing","type":"article-journal"},"uris":["http://www.mendeley.com/documents/?uuid=2b06a627-ef8c-434c-ac2b-d66c6648f5d7"]},{"id":"ITEM-6","itemData":{"DOI":"10.1080/10426914.2013.822980","author":[{"dropping-particle":"","family":"Ahmad","given":"Asnul Hadi","non-dropping-particle":"","parse-names":false,"suffix":""},{"dropping-particle":"","family":"Naher","given":"Sumsun","non-dropping-particle":"","parse-names":false,"suffix":""},{"dropping-particle":"","family":"Brabazon","given":"Dermot","non-dropping-particle":"","parse-names":false,"suffix":""}],"id":"ITEM-6","issue":"March","issued":{"date-parts":[["2014"]]},"title":"The Effect of Direct Thermal Method , Temperature and Time on Microstructure of a cast aluminium alloy","type":"article-journal"},"uris":["http://www.mendeley.com/documents/?uuid=3ec5eb81-6b79-4ea9-9090-71d0788d49df"]}],"mendeley":{"formattedCitation":"[1]–[6]","manualFormatting":"[1– 6]","plainTextFormattedCitation":"[1]–[6]","previouslyFormattedCitation":"[1]–[6]"},"properties":{"noteIndex":0},"schema":"https://github.com/citation-style-language/schema/raw/master/csl-citation.json"}</w:instrText>
      </w:r>
      <w:r w:rsidR="00324C03">
        <w:fldChar w:fldCharType="separate"/>
      </w:r>
      <w:r w:rsidR="00324C03" w:rsidRPr="00324C03">
        <w:rPr>
          <w:noProof/>
        </w:rPr>
        <w:t>[1– 6]</w:t>
      </w:r>
      <w:r w:rsidR="00324C03">
        <w:fldChar w:fldCharType="end"/>
      </w:r>
      <w:r w:rsidR="00324D40">
        <w:t xml:space="preserve">. </w:t>
      </w:r>
      <w:r w:rsidR="00324D40" w:rsidRPr="00324D40">
        <w:t>During the experiment with Sn-15%Pb alloy, the addition of shear during the solidification proce</w:t>
      </w:r>
      <w:r w:rsidR="00324D40">
        <w:t xml:space="preserve">ss </w:t>
      </w:r>
      <w:r>
        <w:t>significantly decreased</w:t>
      </w:r>
      <w:r w:rsidR="00324D40" w:rsidRPr="00324D40">
        <w:t xml:space="preserve"> the stress</w:t>
      </w:r>
      <w:r w:rsidR="00324D40">
        <w:t>.</w:t>
      </w:r>
      <w:r w:rsidR="00324D40" w:rsidRPr="00324D40">
        <w:t xml:space="preserve"> Loweri</w:t>
      </w:r>
      <w:r>
        <w:t>ng the temperature resulted in</w:t>
      </w:r>
      <w:r w:rsidR="00324D40" w:rsidRPr="00324D40">
        <w:t xml:space="preserve"> </w:t>
      </w:r>
      <w:r>
        <w:t>a rapid increase in viscosity, but a higher shear rate decreased</w:t>
      </w:r>
      <w:r w:rsidR="00324D40" w:rsidRPr="00324D40">
        <w:t xml:space="preserve"> overall viscosity value and shorter time to reach steady-state conditions.</w:t>
      </w:r>
      <w:r>
        <w:t xml:space="preserve"> </w:t>
      </w:r>
      <w:r w:rsidRPr="007219AC">
        <w:t xml:space="preserve">The </w:t>
      </w:r>
      <w:r>
        <w:t>dendritic microstructure evolved</w:t>
      </w:r>
      <w:r w:rsidRPr="007219AC">
        <w:t xml:space="preserve"> into a globular microstructure generated by the shearing of the molten metal during cooling </w:t>
      </w:r>
      <w:r>
        <w:t>beyond</w:t>
      </w:r>
      <w:r w:rsidRPr="007219AC">
        <w:t xml:space="preserve"> the</w:t>
      </w:r>
      <w:r>
        <w:t xml:space="preserve"> liquidus</w:t>
      </w:r>
      <w:r w:rsidRPr="007219AC">
        <w:t xml:space="preserve"> temperature.</w:t>
      </w:r>
      <w:r>
        <w:t xml:space="preserve"> </w:t>
      </w:r>
      <w:r w:rsidRPr="007219AC">
        <w:t>SSM processing occurs between solidus and liquidus temperature range, where</w:t>
      </w:r>
      <w:r w:rsidR="006A2938">
        <w:t xml:space="preserve"> </w:t>
      </w:r>
      <w:r w:rsidRPr="007219AC">
        <w:t>the fluidity of molten</w:t>
      </w:r>
      <w:r w:rsidR="00324C03">
        <w:t xml:space="preserve"> metal can change significantly </w:t>
      </w:r>
      <w:r w:rsidR="00324C03">
        <w:fldChar w:fldCharType="begin" w:fldLock="1"/>
      </w:r>
      <w:r w:rsidR="00324C03">
        <w:instrText>ADDIN CSL_CITATION {"citationItems":[{"id":"ITEM-1","itemData":{"DOI":"10.1088/1757-899X/788/1/012017","ISSN":"1757899X","abstract":"The microstructure variances of aluminium 6061 billet produce via direct thermal method with different pouring temperature and holding time are presented in this paper. The direct thermal method is one of the methods to create globular microstructure feedstock billet, which gives the material a thixotropic behaviour during semisolid metal processing. In this experimental work, a molten aluminium 6061 was poured into cylindrical copper mould before quenched in water at room temperature. The effect of pouring temperature of 660°C and 700°C and holding time of 20s and 60s were observed from the microstructure formation. The result shows that the combination of a pouring temperature of 660°C with a 20s holding time produces a finer near globular microstructure. These fines near globular microstructures gives a thixotropic behaviour improvement in better fluidity for a better flow during shaping. The pouring temperature just slightly above the liquidus temperature provides slower cooling rates from above to below the liquidus temperature. This process causes less superheat to be extracted by the cylindrical copper mould and gives a slow cooling rate action during the solidification stage that promotes the formation of further nuclei, which results in smaller grain size. The result also shows the combination of the lowest pouring temperature of 660°C with the lowest holding time of 20s produced the smallest grain size measured in area. However, the circularity and aspect ratio that indicates globular shape grain has a slight change in result which indicates that every feedstock billet has a near globular grain size. In conclusion, this work has shown that specific combination of pouring temperature and holding time has an effect on the microstructure formation of the feedstock billet produced by using direct thermal method.","author":[{"dropping-particle":"","family":"Benjunior","given":"B.","non-dropping-particle":"","parse-names":false,"suffix":""},{"dropping-particle":"","family":"Ahmad","given":"A. H.","non-dropping-particle":"","parse-names":false,"suffix":""},{"dropping-particle":"","family":"Rashidi","given":"M. M.","non-dropping-particle":"","parse-names":false,"suffix":""}],"container-title":"IOP Conference Series: Materials Science and Engineering","id":"ITEM-1","issue":"1","issued":{"date-parts":[["2020"]]},"title":"Direct thermal method pouring temperature and holding time effect on aluminium alloy 6061 microstructure","type":"article-journal","volume":"788"},"uris":["http://www.mendeley.com/documents/?uuid=bbbc4772-2390-4bac-86bc-e6e12ddf9444"]},{"id":"ITEM-2","itemData":{"DOI":"10.1088/1757-899X/257/1/012085","ISSN":"1757899X","abstract":"Semisolid metal (SSM) processing, as a kind of new technology that exploits forming of alloys between solidus and liquidus temperatures, has attracted great attention from investigators for its thixotropic behaviour as well as having advantages in reducing porosity, macrosegregation, and forming forces during shaping process. Various techniques are employed to produce feedstock with fine globular microstructures, and direct thermal method is one of them. In this paper, the effect from different pouring temperatures and holding times using a direct thermal method on microstructure and hardness of aluminium alloy 6061 is presented. Molten aluminium alloy 6061 was poured into a cylindrical copper mould and cooled down to the semisolid temperature before being quenched in water at room temperature. The effect of different pouring temperatures of 660 °C, 680 °C, 700 °C, and holding time of 20 s, and 60 s on the microstructure of aluminium alloy 6061 were investigated. From the micrographs, it was found that the most globular structures were achieved at processing parameters of 660 °C pouring temperature and 60 s holding time. The highest density and hardness of the samples were found at the same processing parameters. It can be concluded that the most spheroidal microstructure, the highest density, and the hardness were recorded at lower pouring temperature and longer holding time.","author":[{"dropping-particle":"","family":"Razak","given":"N. A.","non-dropping-particle":"","parse-names":false,"suffix":""},{"dropping-particle":"","family":"Ahmad","given":"A. H.","non-dropping-particle":"","parse-names":false,"suffix":""},{"dropping-particle":"","family":"Rashidi","given":"M. M.","non-dropping-particle":"","parse-names":false,"suffix":""}],"container-title":"IOP Conference Series: Materials Science and Engineering","id":"ITEM-2","issue":"1","issued":{"date-parts":[["2017"]]},"title":"Investigation of pouring temperature and holding time for semisolid metal feedstock production","type":"article-journal","volume":"257"},"uris":["http://www.mendeley.com/documents/?uuid=68a253de-97a0-4a12-a69a-5fa210f8af2e"]}],"mendeley":{"formattedCitation":"[7], [8]","manualFormatting":"[7- 8]","plainTextFormattedCitation":"[7], [8]","previouslyFormattedCitation":"[7], [8]"},"properties":{"noteIndex":0},"schema":"https://github.com/citation-style-language/schema/raw/master/csl-citation.json"}</w:instrText>
      </w:r>
      <w:r w:rsidR="00324C03">
        <w:fldChar w:fldCharType="separate"/>
      </w:r>
      <w:r w:rsidR="00324C03" w:rsidRPr="00324C03">
        <w:rPr>
          <w:noProof/>
        </w:rPr>
        <w:t>[7</w:t>
      </w:r>
      <w:r w:rsidR="00324C03">
        <w:rPr>
          <w:noProof/>
        </w:rPr>
        <w:t>-</w:t>
      </w:r>
      <w:r w:rsidR="00324C03" w:rsidRPr="00324C03">
        <w:rPr>
          <w:noProof/>
        </w:rPr>
        <w:t xml:space="preserve"> 8]</w:t>
      </w:r>
      <w:r w:rsidR="00324C03">
        <w:fldChar w:fldCharType="end"/>
      </w:r>
      <w:r w:rsidRPr="007219AC">
        <w:t>. The microstructure of the material wil</w:t>
      </w:r>
      <w:r w:rsidR="00E42898">
        <w:t>l consist of solid near-globular</w:t>
      </w:r>
      <w:r w:rsidRPr="007219AC">
        <w:t xml:space="preserve"> grains </w:t>
      </w:r>
      <w:r w:rsidRPr="007219AC">
        <w:lastRenderedPageBreak/>
        <w:t>surrounded by a liquid matrix and a broad solid-to-liquid transition region</w:t>
      </w:r>
      <w:r w:rsidR="00324C03">
        <w:t xml:space="preserve"> </w:t>
      </w:r>
      <w:r w:rsidR="00324C03">
        <w:fldChar w:fldCharType="begin" w:fldLock="1"/>
      </w:r>
      <w:r w:rsidR="00324C03">
        <w:instrText>ADDIN CSL_CITATION {"citationItems":[{"id":"ITEM-1","itemData":{"author":[{"dropping-particle":"","family":"Abdulrazaq","given":"Mohammed N","non-dropping-particle":"","parse-names":false,"suffix":""}],"id":"ITEM-1","issue":"January","issued":{"date-parts":[["2014"]]},"title":"An Overview of Semi-Solid Metal Processing","type":"article-journal"},"uris":["http://www.mendeley.com/documents/?uuid=2b06a627-ef8c-434c-ac2b-d66c6648f5d7"]}],"mendeley":{"formattedCitation":"[5]","plainTextFormattedCitation":"[5]","previouslyFormattedCitation":"[5]"},"properties":{"noteIndex":0},"schema":"https://github.com/citation-style-language/schema/raw/master/csl-citation.json"}</w:instrText>
      </w:r>
      <w:r w:rsidR="00324C03">
        <w:fldChar w:fldCharType="separate"/>
      </w:r>
      <w:r w:rsidR="00324C03" w:rsidRPr="00324C03">
        <w:rPr>
          <w:noProof/>
        </w:rPr>
        <w:t>[5]</w:t>
      </w:r>
      <w:r w:rsidR="00324C03">
        <w:fldChar w:fldCharType="end"/>
      </w:r>
      <w:r w:rsidRPr="007219AC">
        <w:t xml:space="preserve">. The </w:t>
      </w:r>
      <w:r>
        <w:t>spheroidal microstructure formation was</w:t>
      </w:r>
      <w:r w:rsidRPr="007219AC">
        <w:t xml:space="preserve"> influenced by controlling processing parameters such as pouring temperature and holding time.</w:t>
      </w:r>
    </w:p>
    <w:p w:rsidR="007219AC" w:rsidRDefault="007219AC" w:rsidP="00432940">
      <w:pPr>
        <w:pStyle w:val="BodytextIndented"/>
      </w:pPr>
      <w:r>
        <w:t>SSM processing</w:t>
      </w:r>
      <w:r w:rsidR="00432940">
        <w:t xml:space="preserve"> involves two main routes which are</w:t>
      </w:r>
      <w:r w:rsidR="006A2938">
        <w:t xml:space="preserve"> rheoforming and thixo</w:t>
      </w:r>
      <w:r w:rsidR="00432940">
        <w:t>forming</w:t>
      </w:r>
      <w:r w:rsidR="00324C03">
        <w:t xml:space="preserve"> </w:t>
      </w:r>
      <w:r w:rsidR="00324C03">
        <w:fldChar w:fldCharType="begin" w:fldLock="1"/>
      </w:r>
      <w:r w:rsidR="00324C03">
        <w:instrText>ADDIN CSL_CITATION {"citationItems":[{"id":"ITEM-1","itemData":{"author":[{"dropping-particle":"","family":"Rosso","given":"M","non-dropping-particle":"","parse-names":false,"suffix":""}],"id":"ITEM-1","issue":"1","issued":{"date-parts":[["2012"]]},"page":"110-119","title":"Thixocasting and rheocasting technologies , improvements going on","type":"article-journal","volume":"54"},"uris":["http://www.mendeley.com/documents/?uuid=8e34d9a9-a0ec-4477-9e97-579116b2b092"]}],"mendeley":{"formattedCitation":"[9]","plainTextFormattedCitation":"[9]","previouslyFormattedCitation":"[9]"},"properties":{"noteIndex":0},"schema":"https://github.com/citation-style-language/schema/raw/master/csl-citation.json"}</w:instrText>
      </w:r>
      <w:r w:rsidR="00324C03">
        <w:fldChar w:fldCharType="separate"/>
      </w:r>
      <w:r w:rsidR="00324C03" w:rsidRPr="00324C03">
        <w:rPr>
          <w:noProof/>
        </w:rPr>
        <w:t>[9]</w:t>
      </w:r>
      <w:r w:rsidR="00324C03">
        <w:fldChar w:fldCharType="end"/>
      </w:r>
      <w:r w:rsidR="00432940">
        <w:t xml:space="preserve">. In rheoforming routes, the SSM slurry </w:t>
      </w:r>
      <w:r w:rsidR="00432940" w:rsidRPr="00432940">
        <w:t xml:space="preserve">was prepared from the liquid alloy and was followed by the shaping process. </w:t>
      </w:r>
      <w:r w:rsidR="00432940">
        <w:t xml:space="preserve">The </w:t>
      </w:r>
      <w:r w:rsidR="00432940" w:rsidRPr="00432940">
        <w:t>Rheo</w:t>
      </w:r>
      <w:r w:rsidR="00432940">
        <w:t>forming</w:t>
      </w:r>
      <w:r w:rsidR="00432940" w:rsidRPr="00432940">
        <w:t xml:space="preserve"> process started with the molten alloy </w:t>
      </w:r>
      <w:r w:rsidR="00432940">
        <w:t xml:space="preserve">being cooled into the semisolid range before it was placed into a </w:t>
      </w:r>
      <w:r w:rsidR="00432940" w:rsidRPr="00432940">
        <w:t>die without an intermediate solidification stage</w:t>
      </w:r>
      <w:r w:rsidR="00432940">
        <w:t>.</w:t>
      </w:r>
      <w:r w:rsidR="00432940" w:rsidRPr="00432940">
        <w:t xml:space="preserve"> The semisolid of non-dendritic solid particles were formed from a fully liquid state of regular alloy</w:t>
      </w:r>
      <w:r w:rsidR="00432940">
        <w:t xml:space="preserve"> before it was </w:t>
      </w:r>
      <w:r w:rsidR="00432940" w:rsidRPr="00432940">
        <w:t>cooled to achieve the solid fraction and then cast into components</w:t>
      </w:r>
      <w:r w:rsidR="00432940">
        <w:t xml:space="preserve">. The thixoforming </w:t>
      </w:r>
      <w:r w:rsidR="00432940" w:rsidRPr="00432940">
        <w:t xml:space="preserve">process can produce high quality and near net-shaped products due to </w:t>
      </w:r>
      <w:r w:rsidR="00432940">
        <w:t>globular microstructure formation</w:t>
      </w:r>
      <w:r w:rsidR="00432940" w:rsidRPr="00432940">
        <w:t xml:space="preserve"> compared to the dendritic microstructure</w:t>
      </w:r>
      <w:r w:rsidR="00432940">
        <w:t xml:space="preserve"> </w:t>
      </w:r>
      <w:r w:rsidR="00324C03">
        <w:fldChar w:fldCharType="begin" w:fldLock="1"/>
      </w:r>
      <w:r w:rsidR="00324C03">
        <w:instrText>ADDIN CSL_CITATION {"citationItems":[{"id":"ITEM-1","itemData":{"author":[{"dropping-particle":"","family":"Rosso","given":"M","non-dropping-particle":"","parse-names":false,"suffix":""}],"id":"ITEM-1","issue":"1","issued":{"date-parts":[["2012"]]},"page":"110-119","title":"Thixocasting and rheocasting technologies , improvements going on","type":"article-journal","volume":"54"},"uris":["http://www.mendeley.com/documents/?uuid=8e34d9a9-a0ec-4477-9e97-579116b2b092"]}],"mendeley":{"formattedCitation":"[9]","plainTextFormattedCitation":"[9]","previouslyFormattedCitation":"[9]"},"properties":{"noteIndex":0},"schema":"https://github.com/citation-style-language/schema/raw/master/csl-citation.json"}</w:instrText>
      </w:r>
      <w:r w:rsidR="00324C03">
        <w:fldChar w:fldCharType="separate"/>
      </w:r>
      <w:r w:rsidR="00324C03" w:rsidRPr="00324C03">
        <w:rPr>
          <w:noProof/>
        </w:rPr>
        <w:t>[9]</w:t>
      </w:r>
      <w:r w:rsidR="00324C03">
        <w:fldChar w:fldCharType="end"/>
      </w:r>
      <w:r w:rsidR="00324C03">
        <w:t xml:space="preserve">. </w:t>
      </w:r>
      <w:r w:rsidR="00432940" w:rsidRPr="00432940">
        <w:t>Thixoforming routes consist of two stages and involve an intermediate solidification process. The feedstock billets were solidified into the semisolid state by the quenching process</w:t>
      </w:r>
      <w:r w:rsidR="00432940">
        <w:t>. T</w:t>
      </w:r>
      <w:r w:rsidR="00432940" w:rsidRPr="00432940">
        <w:t xml:space="preserve">he feedstock billets were then reheated into the semisolid temperature before </w:t>
      </w:r>
      <w:r w:rsidR="00432940">
        <w:t>forming</w:t>
      </w:r>
      <w:r w:rsidR="00432940" w:rsidRPr="00432940">
        <w:t xml:space="preserve"> and cast into near net-shaped components. The thixoforming process offers </w:t>
      </w:r>
      <w:r w:rsidR="00432940">
        <w:t>improved</w:t>
      </w:r>
      <w:r w:rsidR="00432940" w:rsidRPr="00432940">
        <w:t xml:space="preserve"> mechanical properties, excellent surface finishing, and near net shape material.</w:t>
      </w:r>
    </w:p>
    <w:p w:rsidR="00432940" w:rsidRDefault="00432940" w:rsidP="00432940">
      <w:pPr>
        <w:pStyle w:val="BodytextIndented"/>
      </w:pPr>
      <w:r>
        <w:t xml:space="preserve">Direct </w:t>
      </w:r>
      <w:r w:rsidR="0085442B">
        <w:t xml:space="preserve">thermal method (DTM) is one of </w:t>
      </w:r>
      <w:r w:rsidR="001241C8">
        <w:t xml:space="preserve">the </w:t>
      </w:r>
      <w:r w:rsidR="0085442B">
        <w:t xml:space="preserve">SSM processing technique to produce globular microstructure. The DTM process </w:t>
      </w:r>
      <w:r w:rsidR="0085442B" w:rsidRPr="0085442B">
        <w:t xml:space="preserve">was first discovered by D. Brabazon and coworkers in </w:t>
      </w:r>
      <w:r w:rsidR="0085442B">
        <w:br/>
      </w:r>
      <w:r w:rsidR="0085442B" w:rsidRPr="0085442B">
        <w:t>1997</w:t>
      </w:r>
      <w:r w:rsidR="00324C03">
        <w:fldChar w:fldCharType="begin" w:fldLock="1"/>
      </w:r>
      <w:r w:rsidR="00324C03">
        <w:instrText>ADDIN CSL_CITATION {"citationItems":[{"id":"ITEM-1","itemData":{"author":[{"dropping-particle":"","family":"Ahmad","given":"A. H.","non-dropping-particle":"","parse-names":false,"suffix":""}],"id":"ITEM-1","issue":"January","issued":{"date-parts":[["2015"]]},"title":"Effect of Temporal Thermal Field on Quality of Semi-solid Metal Formed Components","type":"article-journal"},"uris":["http://www.mendeley.com/documents/?uuid=a5a6f608-bdaf-4bbe-b9fb-deb7e2e27fd8"]},{"id":"ITEM-2","itemData":{"DOI":"10.1080/13640461.2003.11819618","ISBN":"1364046032","ISSN":"13640461","abstract":"Semisolid metal processing (SSMP) is of growing industrial significance particularly for magnesium and aluminium alloys. SSMP requires a binary microstructure in which the primary phase is approaching a spheroidal (globular or non-dendritic) shape. Traditionally this is achieved by stirring the alloy in the mushy state. An alternative method, which is gaining popularity, is the so-called slurry-on-demand or new rheocasting process in which solidification conditions are controlled via active thermal management to yield non-dendritic solid in a liquid matrix. The authors present here a novel low-cost process, the direct thermal method (DTM), in which a globular microstructure, suitable for SSMP, is achieved via the naturally occurring thermal environment in a very simple casting experiment. Basically the DTM is a process in which liquid alloy of low superheat is poured into a cylindrical metallic mould of very low thermal mass but high thermal conductivity. Heat-matching between alloy and mould results in a pseudo-isothermal hold within the solidification range of the alloy, made possible by the very low rate of heat loss to the environment. Without the use of any special insulation or heating devices, the fraction solid during the experiment and the hold time can be modified by simple alterations to the process variables and geometry. The thin mould walls also make quenching easy. The resultant alloy morphology is characterised for an aluminium alloy designation A356. © 2003 Maney Publishing.","author":[{"dropping-particle":"","family":"Browne","given":"D. J.","non-dropping-particle":"","parse-names":false,"suffix":""},{"dropping-particle":"","family":"Hussey","given":"M. J.","non-dropping-particle":"","parse-names":false,"suffix":""},{"dropping-particle":"","family":"Carr","given":"A. J.","non-dropping-particle":"","parse-names":false,"suffix":""},{"dropping-particle":"","family":"Brabazon","given":"D.","non-dropping-particle":"","parse-names":false,"suffix":""}],"container-title":"International Journal of Cast Metals Research","id":"ITEM-2","issue":"4","issued":{"date-parts":[["2003"]]},"page":"418-426","title":"Direct thermal method: New process for development of globular alloy microstructure","type":"article-journal","volume":"16"},"uris":["http://www.mendeley.com/documents/?uuid=6d657803-ed5e-41d4-885f-fe7019c56c1f"]},{"id":"ITEM-3","itemData":{"DOI":"10.1179/136404608X286147","ISSN":"13640461","abstract":"Rheocasting processes produce a globular (non-dendritic) morphology in the primary phase of a metallic alloy. The authors have developed the direct thermal method (DTM) of obtaining this morphology, using only standard foundry equipment. In the DTM the alloy is poured, at low superheat, into a cylindrical thin walled metallic mould, and by careful selection of mould materials and geometry, a near isothermal situation occurs for sufficient time to render the primary phase globular. No active thermal management is required or used. The sensitivity of DTM rheocasting of aluminium alloy to variables such as mould inner and outer diameter, mould material, heat transfer at the system interfaces, and starting temperatures, is assessed in this paper. This is done through both experiment and computer modelling. It is concluded that steel is a superior mould material than copper for the DTM, both for operational reasons and to enable the casting of larger diameter billets. © 2007 W. S. Maney &amp; Son Ltd.","author":[{"dropping-particle":"","family":"Carr","given":"A. J.","non-dropping-particle":"","parse-names":false,"suffix":""},{"dropping-particle":"","family":"Browne","given":"D. J.","non-dropping-particle":"","parse-names":false,"suffix":""},{"dropping-particle":"","family":"Hussey","given":"M. J.","non-dropping-particle":"","parse-names":false,"suffix":""},{"dropping-particle":"","family":"Lumsden","given":"N.","non-dropping-particle":"","parse-names":false,"suffix":""},{"dropping-particle":"","family":"Scanlan","given":"M.","non-dropping-particle":"","parse-names":false,"suffix":""}],"container-title":"International Journal of Cast Metals Research","id":"ITEM-3","issue":"6","issued":{"date-parts":[["2007"]]},"page":"325-332","title":"Modelling and experimental development of the direct thermal method of rheocasting","type":"article-journal","volume":"20"},"uris":["http://www.mendeley.com/documents/?uuid=e6b65a0a-862c-427c-be9c-a11486c8ec65"]},{"id":"ITEM-4","itemData":{"abstract":"In recent years a number of methods, other than stirring in the mushy zone, have been developed to produce a fine globular primary phase in cast alloys. These new methods involve the controlled nucleation and growth/ripening of primary phase during solidification. The general aim is to provide multiple nucleation sites early in the process, followed by a slow cooling to discourage dendritic growth and to promote globularisation via ripening. Based on these principles, the authors have developed the Direct Thermal Method (DTM) of rheocasting, which involves pouring an alloy, at low superheat, into a thin-walled metallic mould. The initial rapid absorption of heat from the alloy ensures multiple nucleation. The limited heat capacity of the mould, however, ensures that a balance temperature, below the alloy liquidus, is reached quickly and that, thanks to a low rate of natural heat loss to the atmosphere, a near-isothermal hold period allows globularisation. A very small thermal gradient exists in the system during this time. When the desired microstructure and fraction solid have been achieved, the mould is lowered quickly into water, and quenching of the alloy occurs because the mould is thin-walled and thermally conductive. As reported in the previous Conference, the DTM process of rheocasting has proven to be successful for aluminium alloys in a copper mould. In this paper, the effects of varying experimental DTM parameters on the rheocast microstructure are presented. Parameters studied include alloy pouring temperature, mould preheat, mould coating and mould external cooling. A rudimentary study of heat transfer in DTM has been carried out. The resultant model enables prediction of the alloy cooling curve during DTM processing, and the variation of fraction solid throughout the process. The findings of a theoretical and experimental study of a change of mould material, from copper to steel, are presented. It is concluded that, particularly for relatively large DTM rheocastings, steel is the better material for the tubular moulds.","author":[{"dropping-particle":"","family":"Browne","given":"D. J.","non-dropping-particle":"","parse-names":false,"suffix":""},{"dropping-particle":"","family":"Hussey","given":"M. J.","non-dropping-particle":"","parse-names":false,"suffix":""},{"dropping-particle":"","family":"Carr","given":"A. J.","non-dropping-particle":"","parse-names":false,"suffix":""}],"container-title":"Proceedings of the 8th International Conference on Semi-Solid Processing of Alloys and Composites, S2P 2004","id":"ITEM-4","issued":{"date-parts":[["2004"]]},"page":"227-235","title":"Towards optimisation of the direct thermal method of rheocasting","type":"article-journal","volume":"356"},"uris":["http://www.mendeley.com/documents/?uuid=bed2f5af-c5b8-4aaa-8a71-4f965b4a248c"]}],"mendeley":{"formattedCitation":"[4], [10]–[12]","manualFormatting":"[4, 10–12]","plainTextFormattedCitation":"[4], [10]–[12]","previouslyFormattedCitation":"[4], [10]–[12]"},"properties":{"noteIndex":0},"schema":"https://github.com/citation-style-language/schema/raw/master/csl-citation.json"}</w:instrText>
      </w:r>
      <w:r w:rsidR="00324C03">
        <w:fldChar w:fldCharType="separate"/>
      </w:r>
      <w:r w:rsidR="00324C03" w:rsidRPr="00324C03">
        <w:rPr>
          <w:noProof/>
        </w:rPr>
        <w:t>[4, 10–12]</w:t>
      </w:r>
      <w:r w:rsidR="00324C03">
        <w:fldChar w:fldCharType="end"/>
      </w:r>
      <w:r w:rsidR="0085442B">
        <w:t xml:space="preserve">. </w:t>
      </w:r>
      <w:r w:rsidR="0085442B" w:rsidRPr="0085442B">
        <w:t xml:space="preserve">DTM is a method by which low superheated liquid alloys were poured into </w:t>
      </w:r>
      <w:r w:rsidR="0085442B">
        <w:t>a copper mould</w:t>
      </w:r>
      <w:r w:rsidR="0085442B" w:rsidRPr="0085442B">
        <w:t xml:space="preserve"> </w:t>
      </w:r>
      <w:r w:rsidR="0085442B">
        <w:t xml:space="preserve">to produce globular microstructure. </w:t>
      </w:r>
      <w:r w:rsidR="0085442B" w:rsidRPr="0085442B">
        <w:t>The rapid heat absorption from the molten metal with the mould wall will provide multiple nucleations at the first contact. The low cool rates of the molten alloy caused the he</w:t>
      </w:r>
      <w:r w:rsidR="001241C8">
        <w:t>at los</w:t>
      </w:r>
      <w:r w:rsidR="006A2938">
        <w:t>t to the atmosphere. T</w:t>
      </w:r>
      <w:r w:rsidR="0085442B" w:rsidRPr="0085442B">
        <w:t>he equilibrium temperature was achieved below the alloy solidification range</w:t>
      </w:r>
      <w:r w:rsidR="0085442B">
        <w:t>. The quenching process is a method of rapidly cooling the temperature of molten materials from high temperature</w:t>
      </w:r>
      <w:r w:rsidR="001241C8">
        <w:t>s</w:t>
      </w:r>
      <w:r w:rsidR="0085442B">
        <w:t xml:space="preserve"> into low temperature </w:t>
      </w:r>
      <w:r w:rsidR="00324C03">
        <w:fldChar w:fldCharType="begin" w:fldLock="1"/>
      </w:r>
      <w:r w:rsidR="00324C03">
        <w:instrText>ADDIN CSL_CITATION {"citationItems":[{"id":"ITEM-1","itemData":{"ISBN":"9780849392795","author":[{"dropping-particle":"","family":"Liščić B, Tensi H., Canale L.","given":"Totten G.","non-dropping-particle":"","parse-names":false,"suffix":""}],"id":"ITEM-1","issued":{"date-parts":[["2010"]]},"number-of-pages":"691","title":"Quenching Theory and Technology Second Edition","type":"book"},"uris":["http://www.mendeley.com/documents/?uuid=7ebc4cec-6f4f-4d21-a583-0738e5ce31af"]}],"mendeley":{"formattedCitation":"[13]","plainTextFormattedCitation":"[13]","previouslyFormattedCitation":"[13]"},"properties":{"noteIndex":0},"schema":"https://github.com/citation-style-language/schema/raw/master/csl-citation.json"}</w:instrText>
      </w:r>
      <w:r w:rsidR="00324C03">
        <w:fldChar w:fldCharType="separate"/>
      </w:r>
      <w:r w:rsidR="00324C03" w:rsidRPr="00324C03">
        <w:rPr>
          <w:noProof/>
        </w:rPr>
        <w:t>[13]</w:t>
      </w:r>
      <w:r w:rsidR="00324C03">
        <w:fldChar w:fldCharType="end"/>
      </w:r>
      <w:r w:rsidR="00324C03">
        <w:t xml:space="preserve">. </w:t>
      </w:r>
      <w:r w:rsidR="006A2938">
        <w:t>Q</w:t>
      </w:r>
      <w:r w:rsidR="0085442B" w:rsidRPr="0085442B">
        <w:t xml:space="preserve">uenching process was </w:t>
      </w:r>
      <w:r w:rsidR="001241C8">
        <w:t>performed</w:t>
      </w:r>
      <w:r w:rsidR="0085442B" w:rsidRPr="0085442B">
        <w:t xml:space="preserve"> to </w:t>
      </w:r>
      <w:r w:rsidR="001241C8">
        <w:t>freeze</w:t>
      </w:r>
      <w:r w:rsidR="0085442B" w:rsidRPr="0085442B">
        <w:t xml:space="preserve"> </w:t>
      </w:r>
      <w:r w:rsidR="001241C8">
        <w:t>globular microstructure formation</w:t>
      </w:r>
      <w:r w:rsidR="0085442B" w:rsidRPr="0085442B">
        <w:t xml:space="preserve">. </w:t>
      </w:r>
    </w:p>
    <w:p w:rsidR="001241C8" w:rsidRDefault="001241C8" w:rsidP="00432940">
      <w:pPr>
        <w:pStyle w:val="BodytextIndented"/>
      </w:pPr>
      <w:r w:rsidRPr="001241C8">
        <w:t>Aluminium alloys can be divided into two groups</w:t>
      </w:r>
      <w:r>
        <w:t>,</w:t>
      </w:r>
      <w:r w:rsidRPr="001241C8">
        <w:t xml:space="preserve"> which are wrought aluminium alloys and cast aluminium alloy</w:t>
      </w:r>
      <w:r w:rsidR="006A2938">
        <w:t>s</w:t>
      </w:r>
      <w:r w:rsidRPr="001241C8">
        <w:t xml:space="preserve"> </w:t>
      </w:r>
      <w:r w:rsidR="00324C03">
        <w:fldChar w:fldCharType="begin" w:fldLock="1"/>
      </w:r>
      <w:r w:rsidR="00324C03">
        <w:instrText>ADDIN CSL_CITATION {"citationItems":[{"id":"ITEM-1","itemData":{"DOI":"10.1361/autb2001p351","author":[{"dropping-particle":"","family":"Davis","given":"J R","non-dropping-particle":"","parse-names":false,"suffix":""}],"id":"ITEM-1","issued":{"date-parts":[["2001"]]},"page":"351-416","title":"Aluminum and Aluminum Alloys","type":"article-journal"},"uris":["http://www.mendeley.com/documents/?uuid=48365ac0-fd55-4d6d-8d12-c9369a928ff0"]}],"mendeley":{"formattedCitation":"[14]","plainTextFormattedCitation":"[14]","previouslyFormattedCitation":"[14]"},"properties":{"noteIndex":0},"schema":"https://github.com/citation-style-language/schema/raw/master/csl-citation.json"}</w:instrText>
      </w:r>
      <w:r w:rsidR="00324C03">
        <w:fldChar w:fldCharType="separate"/>
      </w:r>
      <w:r w:rsidR="00324C03" w:rsidRPr="00324C03">
        <w:rPr>
          <w:noProof/>
        </w:rPr>
        <w:t>[14]</w:t>
      </w:r>
      <w:r w:rsidR="00324C03">
        <w:fldChar w:fldCharType="end"/>
      </w:r>
      <w:r w:rsidR="00324C03">
        <w:t xml:space="preserve">. </w:t>
      </w:r>
      <w:r w:rsidRPr="001241C8">
        <w:t>Aluminium alloys are widely used in automotive parts such as engine blocks for weight reduction, piston and cylinder head compared to the cast iron w</w:t>
      </w:r>
      <w:r w:rsidR="00324C03">
        <w:t>hich was heavier than aluminium</w:t>
      </w:r>
      <w:r w:rsidRPr="001241C8">
        <w:t xml:space="preserve">. Wrought aluminium alloys have higher mechanical properties as compared to cast aluminium alloys. The formation of magnesium silicide (Mg2Si) in the 6xxx series alloys makes them heat treatable. Wrought aluminium alloys 6061 are medium in strength, heat-treatable alloy, outstanding formability, weldability and better corrosion resistance </w:t>
      </w:r>
      <w:r w:rsidR="00324C03">
        <w:fldChar w:fldCharType="begin" w:fldLock="1"/>
      </w:r>
      <w:r w:rsidR="00324C03">
        <w:instrText>ADDIN CSL_CITATION {"citationItems":[{"id":"ITEM-1","itemData":{"DOI":"10.1016/j.jmatprotec.2011.01.023","ISBN":"8415683111","ISSN":"09240136","abstract":"Accumulative roll bonding (ARB) has been used as a severe plastic deformation process for the production of high-strength materials. Ageing treatment has been found to enhance the strength of alloys by precipitation of a second phase. In the present work, ARB followed by the ageing process was used for the fabrication of the high-strength 6061 aluminum alloy. Samples of the alloy thus made were subjected under annealed and ARBed conditions to ageing treatment at different temperatures for different times and their mechanical properties were evaluated. It was found that the microhardness and tensile strength of the specimens increased with the number of ARB cycles but their elongation values decreased. After the ageing treatment, the mechanical properties of the ARBed specimens improved in terms of both strength and ductility. Based on TEM observations, it may be concluded that the improved mechanical properties after the duplex ARB-ageing process can be attributed to the precipitation of very fine particles with a slight decrease in dislocation density and limited structure coarsening. SEM observation of fracture surfaces of aged specimens indicated that the fracture was predominantly caused by microvoid coalescence at constituent particles. © 2011 Elsevier B.V. All rights reserved.","author":[{"dropping-particle":"","family":"Rezaei","given":"Mohammad Reza","non-dropping-particle":"","parse-names":false,"suffix":""},{"dropping-particle":"","family":"Toroghinejad","given":"Mohammad Reza","non-dropping-particle":"","parse-names":false,"suffix":""},{"dropping-particle":"","family":"Ashrafizadeh","given":"Fakhreddin","non-dropping-particle":"","parse-names":false,"suffix":""}],"container-title":"Journal of Materials Processing Technology","id":"ITEM-1","issue":"6","issued":{"date-parts":[["2011"]]},"page":"1184-1190","publisher":"Elsevier B.V.","title":"Effects of ARB and ageing processes on mechanical properties and microstructure of 6061 aluminum alloy","type":"article-journal","volume":"211"},"uris":["http://www.mendeley.com/documents/?uuid=bc542ac9-4e4c-429c-80ce-f42ecb0a9781"]},{"id":"ITEM-2","itemData":{"DOI":"10.1016/S0921-5093(01)01416-2","author":[{"dropping-particle":"","family":"Lee","given":"S.-H","non-dropping-particle":"","parse-names":false,"suffix":""},{"dropping-particle":"","family":"Saito","given":"Y","non-dropping-particle":"","parse-names":false,"suffix":""},{"dropping-particle":"","family":"Sakai","given":"T","non-dropping-particle":"","parse-names":false,"suffix":""},{"dropping-particle":"","family":"Utsunomiya","given":"Hiroshi","non-dropping-particle":"","parse-names":false,"suffix":""}],"container-title":"Materials Science and Engineering: A","id":"ITEM-2","issued":{"date-parts":[["2002","2","1"]]},"page":"228-235","title":"Microstructures and mechanical properties of 6061 aluminum alloy processed by accumulative roll-bonding","type":"article-journal","volume":"325"},"uris":["http://www.mendeley.com/documents/?uuid=2288c33d-2084-41d4-89a4-bc439c797547"]}],"mendeley":{"formattedCitation":"[15], [16]","manualFormatting":"[15-16]","plainTextFormattedCitation":"[15], [16]","previouslyFormattedCitation":"[15], [16]"},"properties":{"noteIndex":0},"schema":"https://github.com/citation-style-language/schema/raw/master/csl-citation.json"}</w:instrText>
      </w:r>
      <w:r w:rsidR="00324C03">
        <w:fldChar w:fldCharType="separate"/>
      </w:r>
      <w:r w:rsidR="00324C03" w:rsidRPr="00324C03">
        <w:rPr>
          <w:noProof/>
        </w:rPr>
        <w:t>[15</w:t>
      </w:r>
      <w:r w:rsidR="00324C03">
        <w:rPr>
          <w:noProof/>
        </w:rPr>
        <w:t>-</w:t>
      </w:r>
      <w:r w:rsidR="00324C03" w:rsidRPr="00324C03">
        <w:rPr>
          <w:noProof/>
        </w:rPr>
        <w:t>16]</w:t>
      </w:r>
      <w:r w:rsidR="00324C03">
        <w:fldChar w:fldCharType="end"/>
      </w:r>
      <w:r w:rsidRPr="001241C8">
        <w:t>.</w:t>
      </w:r>
    </w:p>
    <w:p w:rsidR="001241C8" w:rsidRDefault="001241C8" w:rsidP="00432940">
      <w:pPr>
        <w:pStyle w:val="BodytextIndented"/>
      </w:pPr>
      <w:r>
        <w:t xml:space="preserve">The pouring temperature plays a vital role in SSM processing. </w:t>
      </w:r>
      <w:r w:rsidRPr="001241C8">
        <w:t>Lowering the pouring temperature enhances the spheroi</w:t>
      </w:r>
      <w:r>
        <w:t xml:space="preserve">dal microstructure formation and produce globular and in </w:t>
      </w:r>
      <w:r w:rsidRPr="001241C8">
        <w:t>uniform form</w:t>
      </w:r>
      <w:r w:rsidR="00324C03">
        <w:t xml:space="preserve"> </w:t>
      </w:r>
      <w:r w:rsidR="00324C03">
        <w:fldChar w:fldCharType="begin" w:fldLock="1"/>
      </w:r>
      <w:r w:rsidR="00324C03">
        <w:instrText>ADDIN CSL_CITATION {"citationItems":[{"id":"ITEM-1","itemData":{"DOI":"10.1088/1757-899X/257/1/012085","ISSN":"1757899X","abstract":"Semisolid metal (SSM) processing, as a kind of new technology that exploits forming of alloys between solidus and liquidus temperatures, has attracted great attention from investigators for its thixotropic behaviour as well as having advantages in reducing porosity, macrosegregation, and forming forces during shaping process. Various techniques are employed to produce feedstock with fine globular microstructures, and direct thermal method is one of them. In this paper, the effect from different pouring temperatures and holding times using a direct thermal method on microstructure and hardness of aluminium alloy 6061 is presented. Molten aluminium alloy 6061 was poured into a cylindrical copper mould and cooled down to the semisolid temperature before being quenched in water at room temperature. The effect of different pouring temperatures of 660 °C, 680 °C, 700 °C, and holding time of 20 s, and 60 s on the microstructure of aluminium alloy 6061 were investigated. From the micrographs, it was found that the most globular structures were achieved at processing parameters of 660 °C pouring temperature and 60 s holding time. The highest density and hardness of the samples were found at the same processing parameters. It can be concluded that the most spheroidal microstructure, the highest density, and the hardness were recorded at lower pouring temperature and longer holding time.","author":[{"dropping-particle":"","family":"Razak","given":"N. A.","non-dropping-particle":"","parse-names":false,"suffix":""},{"dropping-particle":"","family":"Ahmad","given":"A. H.","non-dropping-particle":"","parse-names":false,"suffix":""},{"dropping-particle":"","family":"Rashidi","given":"M. M.","non-dropping-particle":"","parse-names":false,"suffix":""}],"container-title":"IOP Conference Series: Materials Science and Engineering","id":"ITEM-1","issue":"1","issued":{"date-parts":[["2017"]]},"title":"Investigation of pouring temperature and holding time for semisolid metal feedstock production","type":"article-journal","volume":"257"},"uris":["http://www.mendeley.com/documents/?uuid=68a253de-97a0-4a12-a69a-5fa210f8af2e"]}],"mendeley":{"formattedCitation":"[8]","plainTextFormattedCitation":"[8]","previouslyFormattedCitation":"[8]"},"properties":{"noteIndex":0},"schema":"https://github.com/citation-style-language/schema/raw/master/csl-citation.json"}</w:instrText>
      </w:r>
      <w:r w:rsidR="00324C03">
        <w:fldChar w:fldCharType="separate"/>
      </w:r>
      <w:r w:rsidR="00324C03" w:rsidRPr="00324C03">
        <w:rPr>
          <w:noProof/>
        </w:rPr>
        <w:t>[8]</w:t>
      </w:r>
      <w:r w:rsidR="00324C03">
        <w:fldChar w:fldCharType="end"/>
      </w:r>
      <w:r w:rsidRPr="001241C8">
        <w:t>. Lower pouring temperature above the liquidus temperature ends up in higher cooling rates as low superheat extraction of liquefied a</w:t>
      </w:r>
      <w:r>
        <w:t xml:space="preserve">lloy with the copper mould </w:t>
      </w:r>
      <w:r w:rsidR="00324C03">
        <w:fldChar w:fldCharType="begin" w:fldLock="1"/>
      </w:r>
      <w:r w:rsidR="00324C03">
        <w:instrText>ADDIN CSL_CITATION {"citationItems":[{"id":"ITEM-1","itemData":{"DOI":"10.4028/www.scientific.net/AMR.939.400","author":[{"dropping-particle":"","family":"Ahmad","given":"A H","non-dropping-particle":"","parse-names":false,"suffix":""},{"dropping-particle":"","family":"Naher","given":"S","non-dropping-particle":"","parse-names":false,"suffix":""},{"dropping-particle":"","family":"Brabazon","given":"D","non-dropping-particle":"","parse-names":false,"suffix":""}],"id":"ITEM-1","issued":{"date-parts":[["2014"]]},"page":"400-408","title":"Direct Thermal Method of Aluminium 7075","type":"article-journal","volume":"939"},"uris":["http://www.mendeley.com/documents/?uuid=d3ede09f-fc5c-4d6c-b9f4-c637a3a32319"]}],"mendeley":{"formattedCitation":"[17]","plainTextFormattedCitation":"[17]","previouslyFormattedCitation":"[17]"},"properties":{"noteIndex":0},"schema":"https://github.com/citation-style-language/schema/raw/master/csl-citation.json"}</w:instrText>
      </w:r>
      <w:r w:rsidR="00324C03">
        <w:fldChar w:fldCharType="separate"/>
      </w:r>
      <w:r w:rsidR="00324C03" w:rsidRPr="00324C03">
        <w:rPr>
          <w:noProof/>
        </w:rPr>
        <w:t>[17]</w:t>
      </w:r>
      <w:r w:rsidR="00324C03">
        <w:fldChar w:fldCharType="end"/>
      </w:r>
      <w:r>
        <w:t>.</w:t>
      </w:r>
    </w:p>
    <w:p w:rsidR="001241C8" w:rsidRDefault="001241C8" w:rsidP="00432940">
      <w:pPr>
        <w:pStyle w:val="BodytextIndented"/>
      </w:pPr>
      <w:r w:rsidRPr="001241C8">
        <w:t>The main aspect of holding time was to provide enough solid fraction before the quenching process. The solid fraction within the molten alloy influenced the globular microstructure formation during the solidification process. The higher holding time leads t</w:t>
      </w:r>
      <w:r w:rsidR="00324C03">
        <w:t xml:space="preserve">o higher grains size formation </w:t>
      </w:r>
      <w:r w:rsidR="00324C03">
        <w:fldChar w:fldCharType="begin" w:fldLock="1"/>
      </w:r>
      <w:r w:rsidR="00324C03">
        <w:instrText>ADDIN CSL_CITATION {"citationItems":[{"id":"ITEM-1","itemData":{"DOI":"10.4028/www.scientific.net/AMR.939.400","author":[{"dropping-particle":"","family":"Ahmad","given":"A H","non-dropping-particle":"","parse-names":false,"suffix":""},{"dropping-particle":"","family":"Naher","given":"S","non-dropping-particle":"","parse-names":false,"suffix":""},{"dropping-particle":"","family":"Brabazon","given":"D","non-dropping-particle":"","parse-names":false,"suffix":""}],"id":"ITEM-1","issued":{"date-parts":[["2014"]]},"page":"400-408","title":"Direct Thermal Method of Aluminium 7075","type":"article-journal","volume":"939"},"uris":["http://www.mendeley.com/documents/?uuid=d3ede09f-fc5c-4d6c-b9f4-c637a3a32319"]}],"mendeley":{"formattedCitation":"[17]","plainTextFormattedCitation":"[17]","previouslyFormattedCitation":"[17]"},"properties":{"noteIndex":0},"schema":"https://github.com/citation-style-language/schema/raw/master/csl-citation.json"}</w:instrText>
      </w:r>
      <w:r w:rsidR="00324C03">
        <w:fldChar w:fldCharType="separate"/>
      </w:r>
      <w:r w:rsidR="00324C03" w:rsidRPr="00324C03">
        <w:rPr>
          <w:noProof/>
        </w:rPr>
        <w:t>[17]</w:t>
      </w:r>
      <w:r w:rsidR="00324C03">
        <w:fldChar w:fldCharType="end"/>
      </w:r>
      <w:r w:rsidRPr="001241C8">
        <w:t xml:space="preserve">. Based on the literature, the spheroidal microstructure formation was influenced by the pouring temperature and holding time. This experimental works aim to study the influence of the pouring temperature and holding time on </w:t>
      </w:r>
      <w:r>
        <w:t xml:space="preserve">the </w:t>
      </w:r>
      <w:r w:rsidRPr="001241C8">
        <w:t>microstructure formation of DTM feedstock</w:t>
      </w:r>
      <w:r w:rsidR="00E42898">
        <w:t>.</w:t>
      </w:r>
    </w:p>
    <w:p w:rsidR="009A0487" w:rsidRDefault="001241C8">
      <w:pPr>
        <w:pStyle w:val="Section"/>
      </w:pPr>
      <w:r>
        <w:t>Experimental procedure</w:t>
      </w:r>
    </w:p>
    <w:p w:rsidR="006A2938" w:rsidRDefault="006A2938" w:rsidP="006A2938">
      <w:pPr>
        <w:pStyle w:val="BodytextIndented"/>
        <w:ind w:firstLine="0"/>
      </w:pPr>
      <w:r w:rsidRPr="006A2938">
        <w:t>Wrought aluminium alloy 6060 ha</w:t>
      </w:r>
      <w:r>
        <w:t>s</w:t>
      </w:r>
      <w:r w:rsidRPr="006A2938">
        <w:t xml:space="preserve"> been used in this </w:t>
      </w:r>
      <w:r>
        <w:t>experimental works</w:t>
      </w:r>
      <w:r w:rsidRPr="006A2938">
        <w:t>. The wrought aluminium alloy 6061 was cut into 20</w:t>
      </w:r>
      <w:r w:rsidR="00E42898">
        <w:t xml:space="preserve"> </w:t>
      </w:r>
      <w:r w:rsidRPr="006A2938">
        <w:t>mm</w:t>
      </w:r>
      <w:r>
        <w:t>. It</w:t>
      </w:r>
      <w:r w:rsidRPr="006A2938">
        <w:t xml:space="preserve"> was ground using abrasive silicon paper with the grit specification of P120, P240, P320 and P600 to get flat and smooth surfaces before the chemical composition test. The chemical composition of aluminium 6061 was then compared with the ASM. The chemical composition of aluminium alloy 6061 </w:t>
      </w:r>
      <w:r w:rsidR="00E42898">
        <w:t>is</w:t>
      </w:r>
      <w:r w:rsidRPr="006A2938">
        <w:t xml:space="preserve"> presented in </w:t>
      </w:r>
      <w:r w:rsidR="00B65DB3">
        <w:fldChar w:fldCharType="begin"/>
      </w:r>
      <w:r w:rsidR="00B65DB3">
        <w:instrText xml:space="preserve"> REF _Ref58835292 \h </w:instrText>
      </w:r>
      <w:r w:rsidR="00B65DB3">
        <w:fldChar w:fldCharType="separate"/>
      </w:r>
      <w:r w:rsidR="00B65DB3" w:rsidRPr="005015E0">
        <w:rPr>
          <w:rFonts w:ascii="Times New Roman" w:hAnsi="Times New Roman"/>
          <w:sz w:val="24"/>
          <w:szCs w:val="24"/>
        </w:rPr>
        <w:t xml:space="preserve">Table </w:t>
      </w:r>
      <w:r w:rsidR="00B65DB3" w:rsidRPr="005015E0">
        <w:rPr>
          <w:rFonts w:ascii="Times New Roman" w:hAnsi="Times New Roman"/>
          <w:noProof/>
          <w:sz w:val="24"/>
          <w:szCs w:val="24"/>
        </w:rPr>
        <w:t>1</w:t>
      </w:r>
      <w:r w:rsidR="00B65DB3">
        <w:fldChar w:fldCharType="end"/>
      </w:r>
      <w:r>
        <w:t>.</w:t>
      </w:r>
    </w:p>
    <w:p w:rsidR="006A2938" w:rsidRDefault="006A2938" w:rsidP="006A2938">
      <w:pPr>
        <w:pStyle w:val="BodytextIndented"/>
        <w:ind w:firstLine="0"/>
      </w:pPr>
    </w:p>
    <w:p w:rsidR="006A2938" w:rsidRDefault="006A2938" w:rsidP="006A2938">
      <w:pPr>
        <w:pStyle w:val="BodytextIndented"/>
        <w:ind w:firstLine="0"/>
      </w:pPr>
    </w:p>
    <w:p w:rsidR="006A2938" w:rsidRDefault="006A2938" w:rsidP="006A2938">
      <w:pPr>
        <w:pStyle w:val="BodytextIndented"/>
        <w:ind w:firstLine="0"/>
      </w:pPr>
    </w:p>
    <w:p w:rsidR="006A2938" w:rsidRDefault="006A2938" w:rsidP="006A2938">
      <w:pPr>
        <w:jc w:val="center"/>
        <w:rPr>
          <w:rFonts w:ascii="Times New Roman" w:hAnsi="Times New Roman"/>
          <w:sz w:val="24"/>
          <w:szCs w:val="24"/>
        </w:rPr>
      </w:pPr>
      <w:bookmarkStart w:id="1" w:name="_Ref58835292"/>
      <w:r w:rsidRPr="005015E0">
        <w:rPr>
          <w:rFonts w:ascii="Times New Roman" w:hAnsi="Times New Roman"/>
          <w:sz w:val="24"/>
          <w:szCs w:val="24"/>
        </w:rPr>
        <w:lastRenderedPageBreak/>
        <w:t xml:space="preserve">Table </w:t>
      </w:r>
      <w:r w:rsidRPr="005015E0">
        <w:rPr>
          <w:rFonts w:ascii="Times New Roman" w:hAnsi="Times New Roman"/>
          <w:sz w:val="24"/>
          <w:szCs w:val="24"/>
        </w:rPr>
        <w:fldChar w:fldCharType="begin"/>
      </w:r>
      <w:r w:rsidRPr="005015E0">
        <w:rPr>
          <w:rFonts w:ascii="Times New Roman" w:hAnsi="Times New Roman"/>
          <w:sz w:val="24"/>
          <w:szCs w:val="24"/>
        </w:rPr>
        <w:instrText xml:space="preserve"> SEQ Table \* ARABIC </w:instrText>
      </w:r>
      <w:r w:rsidRPr="005015E0">
        <w:rPr>
          <w:rFonts w:ascii="Times New Roman" w:hAnsi="Times New Roman"/>
          <w:sz w:val="24"/>
          <w:szCs w:val="24"/>
        </w:rPr>
        <w:fldChar w:fldCharType="separate"/>
      </w:r>
      <w:r w:rsidR="005015E0" w:rsidRPr="005015E0">
        <w:rPr>
          <w:rFonts w:ascii="Times New Roman" w:hAnsi="Times New Roman"/>
          <w:noProof/>
          <w:sz w:val="24"/>
          <w:szCs w:val="24"/>
        </w:rPr>
        <w:t>1</w:t>
      </w:r>
      <w:r w:rsidRPr="005015E0">
        <w:rPr>
          <w:rFonts w:ascii="Times New Roman" w:hAnsi="Times New Roman"/>
          <w:sz w:val="24"/>
          <w:szCs w:val="24"/>
        </w:rPr>
        <w:fldChar w:fldCharType="end"/>
      </w:r>
      <w:bookmarkEnd w:id="1"/>
      <w:r w:rsidRPr="00864C0D">
        <w:rPr>
          <w:rFonts w:ascii="Times New Roman" w:hAnsi="Times New Roman"/>
          <w:sz w:val="24"/>
          <w:szCs w:val="24"/>
        </w:rPr>
        <w:t>: Chemical Composition of Aluminium 6061</w:t>
      </w:r>
      <w:r w:rsidR="00E42898">
        <w:rPr>
          <w:rFonts w:ascii="Times New Roman" w:hAnsi="Times New Roman"/>
          <w:sz w:val="24"/>
          <w:szCs w:val="24"/>
        </w:rPr>
        <w:t>.</w:t>
      </w:r>
    </w:p>
    <w:p w:rsidR="006A2938" w:rsidRDefault="006A2938" w:rsidP="006A2938">
      <w:pPr>
        <w:jc w:val="center"/>
        <w:rPr>
          <w:rFonts w:ascii="Times New Roman" w:hAnsi="Times New Roman"/>
          <w:sz w:val="24"/>
          <w:szCs w:val="24"/>
        </w:rPr>
      </w:pPr>
    </w:p>
    <w:tbl>
      <w:tblPr>
        <w:tblStyle w:val="TableGrid"/>
        <w:tblpPr w:leftFromText="180" w:rightFromText="180" w:vertAnchor="text" w:horzAnchor="margin" w:tblpY="10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9"/>
        <w:gridCol w:w="888"/>
        <w:gridCol w:w="1100"/>
        <w:gridCol w:w="816"/>
        <w:gridCol w:w="858"/>
        <w:gridCol w:w="780"/>
        <w:gridCol w:w="780"/>
        <w:gridCol w:w="780"/>
        <w:gridCol w:w="933"/>
      </w:tblGrid>
      <w:tr w:rsidR="006A2938" w:rsidTr="003B1A30">
        <w:tc>
          <w:tcPr>
            <w:tcW w:w="1569" w:type="dxa"/>
            <w:tcBorders>
              <w:top w:val="single" w:sz="4" w:space="0" w:color="auto"/>
              <w:bottom w:val="single" w:sz="4" w:space="0" w:color="auto"/>
            </w:tcBorders>
          </w:tcPr>
          <w:p w:rsidR="006A2938" w:rsidRDefault="006A2938" w:rsidP="003B1A30">
            <w:pPr>
              <w:autoSpaceDE w:val="0"/>
              <w:autoSpaceDN w:val="0"/>
              <w:adjustRightInd w:val="0"/>
              <w:rPr>
                <w:rFonts w:ascii="Times New Roman" w:hAnsi="Times New Roman"/>
                <w:sz w:val="24"/>
                <w:szCs w:val="24"/>
              </w:rPr>
            </w:pPr>
            <w:r>
              <w:rPr>
                <w:rFonts w:ascii="Times New Roman" w:hAnsi="Times New Roman"/>
                <w:sz w:val="24"/>
                <w:szCs w:val="24"/>
              </w:rPr>
              <w:t xml:space="preserve">Composition </w:t>
            </w:r>
          </w:p>
        </w:tc>
        <w:tc>
          <w:tcPr>
            <w:tcW w:w="888"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Al</w:t>
            </w:r>
          </w:p>
        </w:tc>
        <w:tc>
          <w:tcPr>
            <w:tcW w:w="1100"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Mg</w:t>
            </w:r>
          </w:p>
        </w:tc>
        <w:tc>
          <w:tcPr>
            <w:tcW w:w="816"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Si</w:t>
            </w:r>
          </w:p>
        </w:tc>
        <w:tc>
          <w:tcPr>
            <w:tcW w:w="858"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Cu</w:t>
            </w:r>
          </w:p>
        </w:tc>
        <w:tc>
          <w:tcPr>
            <w:tcW w:w="780"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Fe</w:t>
            </w:r>
          </w:p>
        </w:tc>
        <w:tc>
          <w:tcPr>
            <w:tcW w:w="780"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Cr</w:t>
            </w:r>
          </w:p>
        </w:tc>
        <w:tc>
          <w:tcPr>
            <w:tcW w:w="780"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Zn</w:t>
            </w:r>
          </w:p>
        </w:tc>
        <w:tc>
          <w:tcPr>
            <w:tcW w:w="933" w:type="dxa"/>
            <w:tcBorders>
              <w:top w:val="single" w:sz="4" w:space="0" w:color="auto"/>
              <w:bottom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Mn</w:t>
            </w:r>
          </w:p>
        </w:tc>
      </w:tr>
      <w:tr w:rsidR="006A2938" w:rsidTr="003B1A30">
        <w:tc>
          <w:tcPr>
            <w:tcW w:w="1569" w:type="dxa"/>
            <w:tcBorders>
              <w:top w:val="single" w:sz="4" w:space="0" w:color="auto"/>
            </w:tcBorders>
          </w:tcPr>
          <w:p w:rsidR="006A2938" w:rsidRDefault="006A2938" w:rsidP="003B1A30">
            <w:pPr>
              <w:autoSpaceDE w:val="0"/>
              <w:autoSpaceDN w:val="0"/>
              <w:adjustRightInd w:val="0"/>
              <w:rPr>
                <w:rFonts w:ascii="Times New Roman" w:hAnsi="Times New Roman"/>
                <w:sz w:val="24"/>
                <w:szCs w:val="24"/>
              </w:rPr>
            </w:pPr>
            <w:r>
              <w:rPr>
                <w:rFonts w:ascii="Times New Roman" w:hAnsi="Times New Roman"/>
                <w:sz w:val="24"/>
                <w:szCs w:val="24"/>
              </w:rPr>
              <w:t>Wt ( %)</w:t>
            </w:r>
          </w:p>
        </w:tc>
        <w:tc>
          <w:tcPr>
            <w:tcW w:w="888"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97.7</w:t>
            </w:r>
          </w:p>
        </w:tc>
        <w:tc>
          <w:tcPr>
            <w:tcW w:w="1100"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0.92</w:t>
            </w:r>
          </w:p>
        </w:tc>
        <w:tc>
          <w:tcPr>
            <w:tcW w:w="816"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0.72</w:t>
            </w:r>
          </w:p>
        </w:tc>
        <w:tc>
          <w:tcPr>
            <w:tcW w:w="858"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0.27</w:t>
            </w:r>
          </w:p>
        </w:tc>
        <w:tc>
          <w:tcPr>
            <w:tcW w:w="780"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0.19</w:t>
            </w:r>
          </w:p>
        </w:tc>
        <w:tc>
          <w:tcPr>
            <w:tcW w:w="780"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0.07</w:t>
            </w:r>
          </w:p>
        </w:tc>
        <w:tc>
          <w:tcPr>
            <w:tcW w:w="780"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0.01</w:t>
            </w:r>
          </w:p>
        </w:tc>
        <w:tc>
          <w:tcPr>
            <w:tcW w:w="933" w:type="dxa"/>
            <w:tcBorders>
              <w:top w:val="single" w:sz="4" w:space="0" w:color="auto"/>
            </w:tcBorders>
          </w:tcPr>
          <w:p w:rsidR="006A2938" w:rsidRDefault="006A2938" w:rsidP="003B1A30">
            <w:pPr>
              <w:autoSpaceDE w:val="0"/>
              <w:autoSpaceDN w:val="0"/>
              <w:adjustRightInd w:val="0"/>
              <w:jc w:val="center"/>
              <w:rPr>
                <w:rFonts w:ascii="Times New Roman" w:hAnsi="Times New Roman"/>
                <w:sz w:val="24"/>
                <w:szCs w:val="24"/>
              </w:rPr>
            </w:pPr>
            <w:r>
              <w:rPr>
                <w:rFonts w:ascii="Times New Roman" w:hAnsi="Times New Roman"/>
                <w:sz w:val="24"/>
                <w:szCs w:val="24"/>
              </w:rPr>
              <w:t>0.01</w:t>
            </w:r>
          </w:p>
        </w:tc>
      </w:tr>
    </w:tbl>
    <w:p w:rsidR="006A2938" w:rsidRDefault="006A2938" w:rsidP="006A2938">
      <w:pPr>
        <w:pStyle w:val="Caption"/>
      </w:pPr>
    </w:p>
    <w:p w:rsidR="006A2938" w:rsidRPr="006A2938" w:rsidRDefault="006A2938" w:rsidP="006A2938">
      <w:pPr>
        <w:pStyle w:val="Heading2"/>
        <w:numPr>
          <w:ilvl w:val="0"/>
          <w:numId w:val="0"/>
        </w:numPr>
      </w:pPr>
    </w:p>
    <w:p w:rsidR="009A0487" w:rsidRPr="00733CB3" w:rsidRDefault="006A2938" w:rsidP="00733CB3">
      <w:pPr>
        <w:pStyle w:val="Heading2"/>
      </w:pPr>
      <w:r>
        <w:t>Direct thermal method</w:t>
      </w:r>
      <w:r w:rsidR="005015E0">
        <w:t>.</w:t>
      </w:r>
    </w:p>
    <w:p w:rsidR="009A0487" w:rsidRDefault="006A2938">
      <w:pPr>
        <w:pStyle w:val="Bodytext"/>
      </w:pPr>
      <w:r w:rsidRPr="006A2938">
        <w:t>The copper mould was fabricated with 120 mm height and 27 mm diameter with a thickness of 1 mm. The base</w:t>
      </w:r>
      <w:r>
        <w:t xml:space="preserve"> of the mould</w:t>
      </w:r>
      <w:r w:rsidRPr="006A2938">
        <w:t xml:space="preserve"> was designed with 50 mm times 50 mm copper plate. The copper mould needs to be jointed between the basement and the hollow copper. </w:t>
      </w:r>
      <w:r>
        <w:t>The joining part must also be checked</w:t>
      </w:r>
      <w:r w:rsidRPr="006A2938">
        <w:t xml:space="preserve"> to ensure there was no open space between the base and the copper hollow</w:t>
      </w:r>
      <w:r>
        <w:t>.</w:t>
      </w:r>
    </w:p>
    <w:p w:rsidR="006A2938" w:rsidRDefault="006A2938" w:rsidP="006A2938">
      <w:pPr>
        <w:pStyle w:val="BodytextIndented"/>
        <w:rPr>
          <w:color w:val="auto"/>
        </w:rPr>
      </w:pPr>
      <w:r w:rsidRPr="006A2938">
        <w:t>In this experiment, wrought alloy 6061 was melted inside the graphite c</w:t>
      </w:r>
      <w:r>
        <w:t>rucible at a temperature of 900</w:t>
      </w:r>
      <w:r w:rsidRPr="006A2938">
        <w:t>°C in the Carbolite box furnace. After the aluminium 6061 was utterly melt, the crucible was taken out, and the temperature of the molten alloy was measured. K type thermocouple that connected with data logger was used to measure the temperature of molten alloy. The molten alloys were then poured into the cylindrical copper mould after achieving the desired temperature. The pou</w:t>
      </w:r>
      <w:r>
        <w:t>ring temperature was set at 660</w:t>
      </w:r>
      <w:r w:rsidRPr="006A2938">
        <w:t xml:space="preserve">°C, while the holding time used was set to 20 s, 40 s, and 60 s. </w:t>
      </w:r>
      <w:r w:rsidRPr="006A2938">
        <w:rPr>
          <w:color w:val="auto"/>
        </w:rPr>
        <w:t xml:space="preserve">The room temperature quenching tank was used to freeze microstructure formation upon reaching the desired holding time. The schematic diagram of the DTM process </w:t>
      </w:r>
      <w:r w:rsidR="00E42898">
        <w:rPr>
          <w:color w:val="auto"/>
        </w:rPr>
        <w:t>is</w:t>
      </w:r>
      <w:r w:rsidRPr="006A2938">
        <w:rPr>
          <w:color w:val="auto"/>
        </w:rPr>
        <w:t xml:space="preserve"> shown in </w:t>
      </w:r>
      <w:r w:rsidRPr="006A2938">
        <w:rPr>
          <w:color w:val="auto"/>
        </w:rPr>
        <w:fldChar w:fldCharType="begin"/>
      </w:r>
      <w:r w:rsidRPr="006A2938">
        <w:rPr>
          <w:color w:val="auto"/>
        </w:rPr>
        <w:instrText xml:space="preserve"> REF _Ref58836246 \h  \* MERGEFORMAT </w:instrText>
      </w:r>
      <w:r w:rsidRPr="006A2938">
        <w:rPr>
          <w:color w:val="auto"/>
        </w:rPr>
      </w:r>
      <w:r w:rsidRPr="006A2938">
        <w:rPr>
          <w:color w:val="auto"/>
        </w:rPr>
        <w:fldChar w:fldCharType="separate"/>
      </w:r>
      <w:r w:rsidRPr="006A2938">
        <w:rPr>
          <w:color w:val="auto"/>
        </w:rPr>
        <w:t xml:space="preserve">Figure </w:t>
      </w:r>
      <w:r w:rsidRPr="006A2938">
        <w:rPr>
          <w:noProof/>
          <w:color w:val="auto"/>
        </w:rPr>
        <w:t>1</w:t>
      </w:r>
      <w:r w:rsidRPr="006A2938">
        <w:rPr>
          <w:color w:val="auto"/>
        </w:rPr>
        <w:fldChar w:fldCharType="end"/>
      </w:r>
      <w:r>
        <w:rPr>
          <w:color w:val="auto"/>
        </w:rPr>
        <w:t xml:space="preserve"> </w:t>
      </w:r>
      <w:r w:rsidRPr="006A2938">
        <w:rPr>
          <w:color w:val="auto"/>
        </w:rPr>
        <w:t>as follows</w:t>
      </w:r>
      <w:r>
        <w:rPr>
          <w:color w:val="auto"/>
        </w:rPr>
        <w:t>:</w:t>
      </w:r>
    </w:p>
    <w:p w:rsidR="006A2938" w:rsidRDefault="006A2938" w:rsidP="006A2938">
      <w:pPr>
        <w:pStyle w:val="BodytextIndented"/>
        <w:rPr>
          <w:color w:val="auto"/>
        </w:rPr>
      </w:pPr>
    </w:p>
    <w:p w:rsidR="006A2938" w:rsidRDefault="006A2938" w:rsidP="006A2938">
      <w:pPr>
        <w:pStyle w:val="BodytextIndented"/>
        <w:jc w:val="center"/>
      </w:pPr>
      <w:r>
        <w:rPr>
          <w:noProof/>
        </w:rPr>
        <w:drawing>
          <wp:inline distT="0" distB="0" distL="0" distR="0" wp14:anchorId="1C2D324F" wp14:editId="0CEFCB42">
            <wp:extent cx="3316397"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6397" cy="1828800"/>
                    </a:xfrm>
                    <a:prstGeom prst="rect">
                      <a:avLst/>
                    </a:prstGeom>
                    <a:noFill/>
                  </pic:spPr>
                </pic:pic>
              </a:graphicData>
            </a:graphic>
          </wp:inline>
        </w:drawing>
      </w:r>
    </w:p>
    <w:p w:rsidR="006A2938" w:rsidRDefault="006A2938" w:rsidP="006A2938">
      <w:pPr>
        <w:pStyle w:val="BodytextIndented"/>
        <w:jc w:val="center"/>
      </w:pPr>
    </w:p>
    <w:p w:rsidR="009A0487" w:rsidRDefault="006A2938" w:rsidP="006A2938">
      <w:pPr>
        <w:pStyle w:val="Caption"/>
        <w:rPr>
          <w:i w:val="0"/>
          <w:color w:val="auto"/>
          <w:sz w:val="22"/>
        </w:rPr>
      </w:pPr>
      <w:bookmarkStart w:id="2" w:name="_Ref58836246"/>
      <w:r w:rsidRPr="006A2938">
        <w:rPr>
          <w:i w:val="0"/>
          <w:color w:val="auto"/>
          <w:sz w:val="22"/>
        </w:rPr>
        <w:t xml:space="preserve">Figure </w:t>
      </w:r>
      <w:r w:rsidRPr="006A2938">
        <w:rPr>
          <w:i w:val="0"/>
          <w:color w:val="auto"/>
          <w:sz w:val="22"/>
        </w:rPr>
        <w:fldChar w:fldCharType="begin"/>
      </w:r>
      <w:r w:rsidRPr="006A2938">
        <w:rPr>
          <w:i w:val="0"/>
          <w:color w:val="auto"/>
          <w:sz w:val="22"/>
        </w:rPr>
        <w:instrText xml:space="preserve"> SEQ Figure \* ARABIC </w:instrText>
      </w:r>
      <w:r w:rsidRPr="006A2938">
        <w:rPr>
          <w:i w:val="0"/>
          <w:color w:val="auto"/>
          <w:sz w:val="22"/>
        </w:rPr>
        <w:fldChar w:fldCharType="separate"/>
      </w:r>
      <w:r w:rsidR="005015E0">
        <w:rPr>
          <w:i w:val="0"/>
          <w:noProof/>
          <w:color w:val="auto"/>
          <w:sz w:val="22"/>
        </w:rPr>
        <w:t>1</w:t>
      </w:r>
      <w:r w:rsidRPr="006A2938">
        <w:rPr>
          <w:i w:val="0"/>
          <w:color w:val="auto"/>
          <w:sz w:val="22"/>
        </w:rPr>
        <w:fldChar w:fldCharType="end"/>
      </w:r>
      <w:bookmarkEnd w:id="2"/>
      <w:r w:rsidRPr="006A2938">
        <w:rPr>
          <w:i w:val="0"/>
          <w:color w:val="auto"/>
          <w:sz w:val="22"/>
        </w:rPr>
        <w:t xml:space="preserve">: Schematic diagram of </w:t>
      </w:r>
      <w:r w:rsidR="00E42898">
        <w:rPr>
          <w:i w:val="0"/>
          <w:color w:val="auto"/>
          <w:sz w:val="22"/>
        </w:rPr>
        <w:t xml:space="preserve">the </w:t>
      </w:r>
      <w:r w:rsidRPr="006A2938">
        <w:rPr>
          <w:i w:val="0"/>
          <w:color w:val="auto"/>
          <w:sz w:val="22"/>
        </w:rPr>
        <w:t>DTM apparatus used in this experimental works.</w:t>
      </w:r>
    </w:p>
    <w:p w:rsidR="006A2938" w:rsidRDefault="006A2938" w:rsidP="006A2938">
      <w:pPr>
        <w:pStyle w:val="Heading2"/>
      </w:pPr>
      <w:r>
        <w:t>Microstructure analysis sample preparation</w:t>
      </w:r>
      <w:r w:rsidR="005015E0">
        <w:t>.</w:t>
      </w:r>
    </w:p>
    <w:p w:rsidR="006A2938" w:rsidRDefault="006A2938" w:rsidP="006A2938">
      <w:pPr>
        <w:jc w:val="both"/>
      </w:pPr>
      <w:r>
        <w:t>The semisolid feedstock billets were then cut into 5 mm at the bottom to remove the impurities. The sample was then sectioned into 20 mm length using a sectioning cut-off machine. The 20 mm sample was again cut into half using a precision diamond cutting machine with a cutting speed of 230 rpm. The sample was then mounted using a hot mounting machine with a pressure of 60 bar. The sample then ground manually using silicon carbide (SiC) abrasive paper with the grit specifications P120, P240, P320, P400, and P600 to reduce the cutting damage. The correct sequences and grit specification, grinding direction and load applied on the sample can affecting the sample flatness and smoothness of the sample surface. The grinding step was accomplished by decreasing the abrasive grit by sequent to obtain smooth and flat surface finishing. The sample was then ground using an automatic grinding machine with a rotation speed of 250 rpm and a grit level of P1200 and P2000.</w:t>
      </w:r>
    </w:p>
    <w:p w:rsidR="006A2938" w:rsidRDefault="006A2938" w:rsidP="006A2938">
      <w:pPr>
        <w:pStyle w:val="BodytextIndented"/>
      </w:pPr>
      <w:r>
        <w:t xml:space="preserve">The sample was </w:t>
      </w:r>
      <w:r w:rsidRPr="006A2938">
        <w:t>then polished to remove the scratches from the grinding process. The sample was polished using diamond abrasive</w:t>
      </w:r>
      <w:r>
        <w:t>s,</w:t>
      </w:r>
      <w:r w:rsidRPr="006A2938">
        <w:t xml:space="preserve"> ranging from 6-micron down to 1-micron diamond. The last step in microstructure sample preparation was </w:t>
      </w:r>
      <w:r>
        <w:t xml:space="preserve">the </w:t>
      </w:r>
      <w:r w:rsidRPr="006A2938">
        <w:t>etching process. The main purpose of the etching process is to enhance the microstructural features such as primary grain size and phase features. The etchant was dabbing using cotton saturated with the Keller etchant reagent. The sample was held for 15 seconds before it was rinsed with the distilled water</w:t>
      </w:r>
      <w:r>
        <w:t>.</w:t>
      </w:r>
    </w:p>
    <w:p w:rsidR="006A2938" w:rsidRDefault="006A2938" w:rsidP="006A2938">
      <w:pPr>
        <w:pStyle w:val="BodytextIndented"/>
      </w:pPr>
      <w:r w:rsidRPr="006A2938">
        <w:lastRenderedPageBreak/>
        <w:t xml:space="preserve">Image J software was used in determined the primary grain size, circularity and aspect ratio of the microstructure. The circularity of the globular microstructure indicates that the perfect round shape that exists within the primary grain. The circularity value that was closed to 1.0 meant that the grain had a perfect round or globular microstructure, while the value approaching 0 indicates that the grain has </w:t>
      </w:r>
      <w:r>
        <w:t xml:space="preserve">a </w:t>
      </w:r>
      <w:r w:rsidRPr="006A2938">
        <w:t xml:space="preserve">stretched shape. The aspect ratio is a measure for a circular configuration, </w:t>
      </w:r>
      <w:r>
        <w:t xml:space="preserve">in </w:t>
      </w:r>
      <w:r w:rsidRPr="006A2938">
        <w:t>which an elongated primary grain increase</w:t>
      </w:r>
      <w:r>
        <w:t>s</w:t>
      </w:r>
      <w:r w:rsidRPr="006A2938">
        <w:t xml:space="preserve"> the aspect ratio value. Equation </w:t>
      </w:r>
      <w:r>
        <w:t>(</w:t>
      </w:r>
      <w:r w:rsidRPr="006A2938">
        <w:t>1</w:t>
      </w:r>
      <w:r>
        <w:t>)</w:t>
      </w:r>
      <w:r w:rsidRPr="006A2938">
        <w:t xml:space="preserve"> and equation </w:t>
      </w:r>
      <w:r>
        <w:t>(</w:t>
      </w:r>
      <w:r w:rsidRPr="006A2938">
        <w:t>2</w:t>
      </w:r>
      <w:r>
        <w:t>)</w:t>
      </w:r>
      <w:r w:rsidRPr="006A2938">
        <w:t xml:space="preserve"> represented the formula to calculate the aspect ratio and circularity of the primary grain, where p is the perimeter and A is the area of the grain</w:t>
      </w:r>
      <w:r>
        <w:t>:</w:t>
      </w:r>
    </w:p>
    <w:p w:rsidR="006A2938" w:rsidRDefault="006A2938" w:rsidP="006A2938">
      <w:pPr>
        <w:pStyle w:val="BodytextIndented"/>
      </w:pPr>
    </w:p>
    <w:p w:rsidR="006A2938" w:rsidRDefault="006A2938" w:rsidP="006A2938">
      <w:pPr>
        <w:autoSpaceDE w:val="0"/>
        <w:autoSpaceDN w:val="0"/>
        <w:adjustRightInd w:val="0"/>
        <w:jc w:val="right"/>
        <w:rPr>
          <w:rFonts w:ascii="Times New Roman" w:hAnsi="Times New Roman"/>
          <w:sz w:val="24"/>
          <w:szCs w:val="24"/>
          <w:lang w:eastAsia="en-GB"/>
        </w:rPr>
      </w:pPr>
      <m:oMath>
        <m:r>
          <w:rPr>
            <w:rFonts w:ascii="Cambria Math" w:hAnsi="Cambria Math"/>
            <w:szCs w:val="24"/>
            <w:lang w:eastAsia="en-GB"/>
          </w:rPr>
          <m:t>Circularity</m:t>
        </m:r>
        <m:r>
          <m:rPr>
            <m:sty m:val="p"/>
          </m:rPr>
          <w:rPr>
            <w:rFonts w:ascii="Cambria Math" w:eastAsiaTheme="minorEastAsia" w:hAnsi="Cambria Math"/>
            <w:szCs w:val="24"/>
            <w:lang w:eastAsia="en-GB"/>
          </w:rPr>
          <m:t>=</m:t>
        </m:r>
        <m:f>
          <m:fPr>
            <m:ctrlPr>
              <w:rPr>
                <w:rFonts w:ascii="Cambria Math" w:eastAsiaTheme="minorEastAsia" w:hAnsi="Cambria Math"/>
                <w:i/>
                <w:szCs w:val="24"/>
                <w:lang w:eastAsia="en-GB"/>
              </w:rPr>
            </m:ctrlPr>
          </m:fPr>
          <m:num>
            <m:r>
              <m:rPr>
                <m:sty m:val="p"/>
              </m:rPr>
              <w:rPr>
                <w:rFonts w:ascii="Cambria Math" w:eastAsiaTheme="minorEastAsia" w:hAnsi="Cambria Math"/>
                <w:szCs w:val="24"/>
                <w:lang w:eastAsia="en-GB"/>
              </w:rPr>
              <m:t>4πA</m:t>
            </m:r>
          </m:num>
          <m:den>
            <m:r>
              <m:rPr>
                <m:sty m:val="p"/>
              </m:rPr>
              <w:rPr>
                <w:rFonts w:ascii="Cambria Math" w:eastAsiaTheme="minorEastAsia" w:hAnsi="Cambria Math"/>
                <w:szCs w:val="24"/>
                <w:lang w:eastAsia="en-GB"/>
              </w:rPr>
              <m:t xml:space="preserve">  </m:t>
            </m:r>
            <m:r>
              <w:rPr>
                <w:rFonts w:ascii="Cambria Math" w:hAnsi="Cambria Math"/>
                <w:szCs w:val="24"/>
              </w:rPr>
              <m:t>p²</m:t>
            </m:r>
            <m:r>
              <m:rPr>
                <m:sty m:val="p"/>
              </m:rPr>
              <w:rPr>
                <w:rFonts w:ascii="Cambria Math" w:eastAsiaTheme="minorEastAsia" w:hAnsi="Cambria Math"/>
                <w:szCs w:val="24"/>
                <w:lang w:eastAsia="en-GB"/>
              </w:rPr>
              <m:t xml:space="preserve"> </m:t>
            </m:r>
          </m:den>
        </m:f>
      </m:oMath>
      <w:r>
        <w:rPr>
          <w:rFonts w:ascii="Times New Roman" w:hAnsi="Times New Roman"/>
          <w:sz w:val="24"/>
          <w:szCs w:val="24"/>
          <w:lang w:eastAsia="en-GB"/>
        </w:rPr>
        <w:t xml:space="preserve"> </w:t>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t>(1)</w:t>
      </w:r>
    </w:p>
    <w:p w:rsidR="006A2938" w:rsidRPr="00452017" w:rsidRDefault="006A2938" w:rsidP="006A2938">
      <w:pPr>
        <w:autoSpaceDE w:val="0"/>
        <w:autoSpaceDN w:val="0"/>
        <w:adjustRightInd w:val="0"/>
        <w:jc w:val="right"/>
        <w:rPr>
          <w:rFonts w:ascii="Times New Roman" w:hAnsi="Times New Roman"/>
          <w:sz w:val="24"/>
          <w:szCs w:val="24"/>
        </w:rPr>
      </w:pPr>
    </w:p>
    <w:p w:rsidR="006A2938" w:rsidRDefault="006A2938" w:rsidP="006A2938">
      <w:pPr>
        <w:autoSpaceDE w:val="0"/>
        <w:autoSpaceDN w:val="0"/>
        <w:adjustRightInd w:val="0"/>
        <w:jc w:val="right"/>
        <w:rPr>
          <w:rFonts w:ascii="Times New Roman" w:hAnsi="Times New Roman"/>
          <w:sz w:val="24"/>
          <w:szCs w:val="24"/>
          <w:lang w:eastAsia="en-GB"/>
        </w:rPr>
      </w:pPr>
      <m:oMath>
        <m:r>
          <w:rPr>
            <w:rFonts w:ascii="Cambria Math" w:hAnsi="Cambria Math"/>
            <w:szCs w:val="24"/>
            <w:lang w:eastAsia="en-GB"/>
          </w:rPr>
          <m:t>Aspect Ratio</m:t>
        </m:r>
        <m:r>
          <m:rPr>
            <m:sty m:val="p"/>
          </m:rPr>
          <w:rPr>
            <w:rFonts w:ascii="Cambria Math" w:eastAsiaTheme="minorEastAsia" w:hAnsi="Cambria Math"/>
            <w:szCs w:val="24"/>
            <w:lang w:eastAsia="en-GB"/>
          </w:rPr>
          <m:t>=</m:t>
        </m:r>
        <m:f>
          <m:fPr>
            <m:ctrlPr>
              <w:rPr>
                <w:rFonts w:ascii="Cambria Math" w:eastAsiaTheme="minorEastAsia" w:hAnsi="Cambria Math"/>
                <w:i/>
                <w:szCs w:val="24"/>
                <w:lang w:eastAsia="en-GB"/>
              </w:rPr>
            </m:ctrlPr>
          </m:fPr>
          <m:num>
            <m:r>
              <m:rPr>
                <m:sty m:val="p"/>
              </m:rPr>
              <w:rPr>
                <w:rFonts w:ascii="Cambria Math" w:eastAsiaTheme="minorEastAsia" w:hAnsi="Cambria Math"/>
                <w:szCs w:val="24"/>
                <w:lang w:eastAsia="en-GB"/>
              </w:rPr>
              <m:t>major axis</m:t>
            </m:r>
          </m:num>
          <m:den>
            <m:r>
              <m:rPr>
                <m:sty m:val="p"/>
              </m:rPr>
              <w:rPr>
                <w:rFonts w:ascii="Cambria Math" w:eastAsiaTheme="minorEastAsia" w:hAnsi="Cambria Math"/>
                <w:szCs w:val="24"/>
                <w:lang w:eastAsia="en-GB"/>
              </w:rPr>
              <m:t>minor axis</m:t>
            </m:r>
          </m:den>
        </m:f>
      </m:oMath>
      <w:r>
        <w:rPr>
          <w:rFonts w:ascii="Times New Roman" w:hAnsi="Times New Roman"/>
          <w:sz w:val="24"/>
          <w:szCs w:val="24"/>
          <w:lang w:eastAsia="en-GB"/>
        </w:rPr>
        <w:t xml:space="preserve"> </w:t>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r>
      <w:r>
        <w:rPr>
          <w:rFonts w:ascii="Times New Roman" w:hAnsi="Times New Roman"/>
          <w:sz w:val="24"/>
          <w:szCs w:val="24"/>
          <w:lang w:eastAsia="en-GB"/>
        </w:rPr>
        <w:tab/>
        <w:t>(2)</w:t>
      </w:r>
    </w:p>
    <w:p w:rsidR="006A2938" w:rsidRDefault="006A2938" w:rsidP="006A2938">
      <w:pPr>
        <w:autoSpaceDE w:val="0"/>
        <w:autoSpaceDN w:val="0"/>
        <w:adjustRightInd w:val="0"/>
        <w:jc w:val="center"/>
        <w:rPr>
          <w:rFonts w:ascii="Times New Roman" w:hAnsi="Times New Roman"/>
          <w:sz w:val="24"/>
          <w:szCs w:val="24"/>
        </w:rPr>
      </w:pPr>
    </w:p>
    <w:p w:rsidR="006A2938" w:rsidRPr="00452017" w:rsidRDefault="006A2938" w:rsidP="006A2938">
      <w:pPr>
        <w:autoSpaceDE w:val="0"/>
        <w:autoSpaceDN w:val="0"/>
        <w:adjustRightInd w:val="0"/>
        <w:jc w:val="center"/>
        <w:rPr>
          <w:rFonts w:ascii="Times New Roman" w:hAnsi="Times New Roman"/>
          <w:sz w:val="24"/>
          <w:szCs w:val="24"/>
        </w:rPr>
      </w:pPr>
    </w:p>
    <w:p w:rsidR="006A2938" w:rsidRDefault="006A2938" w:rsidP="006A2938">
      <w:pPr>
        <w:pStyle w:val="BodytextIndented"/>
      </w:pPr>
      <w:r>
        <w:t>The</w:t>
      </w:r>
      <w:r w:rsidRPr="006A2938">
        <w:t xml:space="preserve"> microstructure images were observed using an Olympus microscope with Motic Image Plus 3.0 software. The images were observed under 5x and 20x magnification power to get the primary grain images. Three images were captured for each sample and the grain size area, circularity and aspect ratio were then calculated for three repeatability images for every sample. The microstructure was analyzed using Image J software. The scale has been fixed to 100 µm for each sample before analyzing the microstructure. The noise on the image must be adjusted to distinguish the exact primary grain with the scratches. The suitable selection of the microstructure is crucial to measure the primary grain circularity and aspect ratio</w:t>
      </w:r>
      <w:r w:rsidR="005015E0">
        <w:t>.</w:t>
      </w:r>
    </w:p>
    <w:p w:rsidR="006A2938" w:rsidRDefault="006A2938" w:rsidP="006A2938">
      <w:pPr>
        <w:pStyle w:val="Heading2"/>
        <w:rPr>
          <w:rFonts w:ascii="Times New Roman" w:hAnsi="Times New Roman"/>
          <w:sz w:val="24"/>
          <w:szCs w:val="24"/>
        </w:rPr>
      </w:pPr>
      <w:r>
        <w:rPr>
          <w:rFonts w:ascii="Times New Roman" w:hAnsi="Times New Roman"/>
          <w:sz w:val="24"/>
          <w:szCs w:val="24"/>
        </w:rPr>
        <w:t xml:space="preserve"> Energy-dispersive X-ray Spectroscopy (EDXS) analysis</w:t>
      </w:r>
      <w:r w:rsidR="005015E0">
        <w:rPr>
          <w:rFonts w:ascii="Times New Roman" w:hAnsi="Times New Roman"/>
          <w:sz w:val="24"/>
          <w:szCs w:val="24"/>
        </w:rPr>
        <w:t>.</w:t>
      </w:r>
    </w:p>
    <w:p w:rsidR="006A2938" w:rsidRDefault="006A2938" w:rsidP="006A2938">
      <w:pPr>
        <w:jc w:val="both"/>
      </w:pPr>
      <w:r w:rsidRPr="006A2938">
        <w:t xml:space="preserve">The Energy-dispersive X-ray Spectroscopy (EDXS) analysis was carried out by Jeol JSM-7800F machine to measure the chemical composition of the DTM feedstock billets samples. The microstructure formation was observed while the EDXS detectors analyzed the composition data </w:t>
      </w:r>
      <w:r>
        <w:t>in the primary and secondary phases</w:t>
      </w:r>
      <w:r w:rsidRPr="006A2938">
        <w:t>. The solid grain structure indicated that primary phases while liquid structure at the solid grain represented secondary phase.</w:t>
      </w:r>
    </w:p>
    <w:p w:rsidR="006A2938" w:rsidRDefault="006A2938" w:rsidP="006A2938">
      <w:pPr>
        <w:jc w:val="both"/>
      </w:pPr>
    </w:p>
    <w:p w:rsidR="006A2938" w:rsidRDefault="006A2938" w:rsidP="006A2938">
      <w:pPr>
        <w:pStyle w:val="Section"/>
      </w:pPr>
      <w:r>
        <w:t>Results and discussion</w:t>
      </w:r>
    </w:p>
    <w:p w:rsidR="006A2938" w:rsidRDefault="006A2938" w:rsidP="006A2938">
      <w:pPr>
        <w:pStyle w:val="Heading2"/>
      </w:pPr>
      <w:r>
        <w:t>Microstructure analysis</w:t>
      </w:r>
      <w:r w:rsidR="005015E0">
        <w:t>.</w:t>
      </w:r>
    </w:p>
    <w:p w:rsidR="006A2938" w:rsidRDefault="006A2938" w:rsidP="008A02DA">
      <w:pPr>
        <w:jc w:val="both"/>
      </w:pPr>
      <w:r w:rsidRPr="006A2938">
        <w:fldChar w:fldCharType="begin"/>
      </w:r>
      <w:r w:rsidRPr="006A2938">
        <w:instrText xml:space="preserve"> REF _Ref58837986 \h  \* MERGEFORMAT </w:instrText>
      </w:r>
      <w:r w:rsidRPr="006A2938">
        <w:fldChar w:fldCharType="separate"/>
      </w:r>
      <w:r w:rsidRPr="006A2938">
        <w:t xml:space="preserve">Figure </w:t>
      </w:r>
      <w:r w:rsidRPr="006A2938">
        <w:rPr>
          <w:noProof/>
        </w:rPr>
        <w:t>2</w:t>
      </w:r>
      <w:r w:rsidRPr="006A2938">
        <w:fldChar w:fldCharType="end"/>
      </w:r>
      <w:r w:rsidR="00E42898">
        <w:t xml:space="preserve"> shows</w:t>
      </w:r>
      <w:r w:rsidRPr="006A2938">
        <w:t xml:space="preserve"> the microstructure of aluminium 6061 produced by DTM captured using Motic Image Plus 3.0 software. The average for grain size, circularity and aspect ratio for each processing parameter </w:t>
      </w:r>
      <w:r w:rsidR="00E42898">
        <w:t>is</w:t>
      </w:r>
      <w:r w:rsidRPr="006A2938">
        <w:t xml:space="preserve"> shown in </w:t>
      </w:r>
      <w:r w:rsidRPr="006A2938">
        <w:fldChar w:fldCharType="begin"/>
      </w:r>
      <w:r w:rsidRPr="006A2938">
        <w:instrText xml:space="preserve"> REF _Ref58837994 \h  \* MERGEFORMAT </w:instrText>
      </w:r>
      <w:r w:rsidRPr="006A2938">
        <w:fldChar w:fldCharType="separate"/>
      </w:r>
      <w:r w:rsidRPr="006A2938">
        <w:t xml:space="preserve">Figure </w:t>
      </w:r>
      <w:r w:rsidRPr="006A2938">
        <w:rPr>
          <w:noProof/>
        </w:rPr>
        <w:t>3</w:t>
      </w:r>
      <w:r w:rsidRPr="006A2938">
        <w:fldChar w:fldCharType="end"/>
      </w:r>
      <w:r w:rsidR="00E42898">
        <w:t xml:space="preserve"> as follows</w:t>
      </w:r>
      <w:r w:rsidRPr="006A2938">
        <w:t>.</w:t>
      </w:r>
    </w:p>
    <w:p w:rsidR="006A2938" w:rsidRDefault="006A2938" w:rsidP="006A2938"/>
    <w:p w:rsidR="006A2938" w:rsidRDefault="006A2938" w:rsidP="006A2938"/>
    <w:p w:rsidR="006A2938" w:rsidRDefault="006A2938" w:rsidP="006A2938"/>
    <w:p w:rsidR="006A2938" w:rsidRDefault="006A2938" w:rsidP="006A2938">
      <w:r>
        <w:rPr>
          <w:noProof/>
          <w:lang w:val="en-US"/>
        </w:rPr>
        <w:lastRenderedPageBreak/>
        <mc:AlternateContent>
          <mc:Choice Requires="wps">
            <w:drawing>
              <wp:anchor distT="0" distB="0" distL="114300" distR="114300" simplePos="0" relativeHeight="251654656" behindDoc="0" locked="0" layoutInCell="1" allowOverlap="1" wp14:anchorId="635DAC78" wp14:editId="1BAE5F12">
                <wp:simplePos x="0" y="0"/>
                <wp:positionH relativeFrom="column">
                  <wp:posOffset>4445</wp:posOffset>
                </wp:positionH>
                <wp:positionV relativeFrom="paragraph">
                  <wp:posOffset>-1905</wp:posOffset>
                </wp:positionV>
                <wp:extent cx="365760" cy="274320"/>
                <wp:effectExtent l="0" t="0" r="15240" b="11430"/>
                <wp:wrapNone/>
                <wp:docPr id="3" name="Rectangle 3"/>
                <wp:cNvGraphicFramePr/>
                <a:graphic xmlns:a="http://schemas.openxmlformats.org/drawingml/2006/main">
                  <a:graphicData uri="http://schemas.microsoft.com/office/word/2010/wordprocessingShape">
                    <wps:wsp>
                      <wps:cNvSpPr/>
                      <wps:spPr>
                        <a:xfrm>
                          <a:off x="0" y="0"/>
                          <a:ext cx="36576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A2938" w:rsidRPr="00B73389" w:rsidRDefault="006A2938" w:rsidP="006A2938">
                            <w:pPr>
                              <w:jc w:val="center"/>
                              <w:rPr>
                                <w:color w:val="000000" w:themeColor="text1"/>
                              </w:rPr>
                            </w:pPr>
                            <w:r>
                              <w:rPr>
                                <w:color w:val="000000" w:themeColor="text1"/>
                              </w:rPr>
                              <w:t>(</w:t>
                            </w:r>
                            <w:r w:rsidRPr="00B73389">
                              <w:rPr>
                                <w:color w:val="000000" w:themeColor="text1"/>
                              </w:rPr>
                              <w:t>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AC78" id="Rectangle 3" o:spid="_x0000_s1026" style="position:absolute;margin-left:.35pt;margin-top:-.15pt;width:28.8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" fillcolor="white [3201]" strokecolor="black [3200]" strokeweight=".25pt">
                <v:textbox>
                  <w:txbxContent>
                    <w:p w:rsidR="006A2938" w:rsidRPr="00B73389" w:rsidRDefault="006A2938" w:rsidP="006A2938">
                      <w:pPr>
                        <w:jc w:val="center"/>
                        <w:rPr>
                          <w:color w:val="000000" w:themeColor="text1"/>
                        </w:rPr>
                      </w:pPr>
                      <w:r>
                        <w:rPr>
                          <w:color w:val="000000" w:themeColor="text1"/>
                        </w:rPr>
                        <w:t>(</w:t>
                      </w:r>
                      <w:r w:rsidRPr="00B73389">
                        <w:rPr>
                          <w:color w:val="000000" w:themeColor="text1"/>
                        </w:rPr>
                        <w:t>a</w:t>
                      </w:r>
                      <w:r>
                        <w:rPr>
                          <w:color w:val="000000" w:themeColor="text1"/>
                        </w:rPr>
                        <w:t>)</w:t>
                      </w:r>
                    </w:p>
                  </w:txbxContent>
                </v:textbox>
              </v:rect>
            </w:pict>
          </mc:Fallback>
        </mc:AlternateContent>
      </w:r>
      <w:r>
        <w:rPr>
          <w:noProof/>
          <w:lang w:val="en-US"/>
        </w:rPr>
        <w:drawing>
          <wp:inline distT="0" distB="0" distL="0" distR="0" wp14:anchorId="365602CF" wp14:editId="1CB6A2EE">
            <wp:extent cx="2552065" cy="175821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60 20s 1.png"/>
                    <pic:cNvPicPr/>
                  </pic:nvPicPr>
                  <pic:blipFill rotWithShape="1">
                    <a:blip r:embed="rId9" cstate="print">
                      <a:extLst>
                        <a:ext uri="{28A0092B-C50C-407E-A947-70E740481C1C}">
                          <a14:useLocalDpi xmlns:a14="http://schemas.microsoft.com/office/drawing/2010/main" val="0"/>
                        </a:ext>
                      </a:extLst>
                    </a:blip>
                    <a:srcRect t="8433"/>
                    <a:stretch/>
                  </pic:blipFill>
                  <pic:spPr bwMode="auto">
                    <a:xfrm>
                      <a:off x="0" y="0"/>
                      <a:ext cx="2552204" cy="17583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mc:AlternateContent>
          <mc:Choice Requires="wps">
            <w:drawing>
              <wp:anchor distT="0" distB="0" distL="114300" distR="114300" simplePos="0" relativeHeight="251658752" behindDoc="0" locked="0" layoutInCell="1" allowOverlap="1" wp14:anchorId="635DAC78" wp14:editId="1BAE5F12">
                <wp:simplePos x="0" y="0"/>
                <wp:positionH relativeFrom="column">
                  <wp:posOffset>2661920</wp:posOffset>
                </wp:positionH>
                <wp:positionV relativeFrom="paragraph">
                  <wp:posOffset>17145</wp:posOffset>
                </wp:positionV>
                <wp:extent cx="365760" cy="274320"/>
                <wp:effectExtent l="0" t="0" r="15240" b="11430"/>
                <wp:wrapNone/>
                <wp:docPr id="2" name="Rectangle 2"/>
                <wp:cNvGraphicFramePr/>
                <a:graphic xmlns:a="http://schemas.openxmlformats.org/drawingml/2006/main">
                  <a:graphicData uri="http://schemas.microsoft.com/office/word/2010/wordprocessingShape">
                    <wps:wsp>
                      <wps:cNvSpPr/>
                      <wps:spPr>
                        <a:xfrm>
                          <a:off x="0" y="0"/>
                          <a:ext cx="36576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A2938" w:rsidRPr="00B73389" w:rsidRDefault="006A2938" w:rsidP="006A2938">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AC78" id="Rectangle 2" o:spid="_x0000_s1027" style="position:absolute;margin-left:209.6pt;margin-top:1.35pt;width:28.8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" fillcolor="white [3201]" strokecolor="black [3200]" strokeweight=".25pt">
                <v:textbox>
                  <w:txbxContent>
                    <w:p w:rsidR="006A2938" w:rsidRPr="00B73389" w:rsidRDefault="006A2938" w:rsidP="006A2938">
                      <w:pPr>
                        <w:jc w:val="center"/>
                        <w:rPr>
                          <w:color w:val="000000" w:themeColor="text1"/>
                        </w:rPr>
                      </w:pPr>
                      <w:r>
                        <w:rPr>
                          <w:color w:val="000000" w:themeColor="text1"/>
                        </w:rPr>
                        <w:t>(b)</w:t>
                      </w:r>
                    </w:p>
                  </w:txbxContent>
                </v:textbox>
              </v:rect>
            </w:pict>
          </mc:Fallback>
        </mc:AlternateContent>
      </w:r>
      <w:r>
        <w:rPr>
          <w:noProof/>
          <w:sz w:val="20"/>
          <w:lang w:val="en-US"/>
        </w:rPr>
        <w:drawing>
          <wp:inline distT="0" distB="0" distL="0" distR="0" wp14:anchorId="26015394" wp14:editId="1BF0228B">
            <wp:extent cx="2584530" cy="173736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0 40s 1.png"/>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0914"/>
                    <a:stretch/>
                  </pic:blipFill>
                  <pic:spPr bwMode="auto">
                    <a:xfrm>
                      <a:off x="0" y="0"/>
                      <a:ext cx="2584530" cy="1737360"/>
                    </a:xfrm>
                    <a:prstGeom prst="rect">
                      <a:avLst/>
                    </a:prstGeom>
                    <a:ln>
                      <a:noFill/>
                    </a:ln>
                    <a:extLst>
                      <a:ext uri="{53640926-AAD7-44D8-BBD7-CCE9431645EC}">
                        <a14:shadowObscured xmlns:a14="http://schemas.microsoft.com/office/drawing/2010/main"/>
                      </a:ext>
                    </a:extLst>
                  </pic:spPr>
                </pic:pic>
              </a:graphicData>
            </a:graphic>
          </wp:inline>
        </w:drawing>
      </w:r>
    </w:p>
    <w:p w:rsidR="006A2938" w:rsidRDefault="006A2938" w:rsidP="006A2938"/>
    <w:p w:rsidR="006A2938" w:rsidRDefault="006A2938" w:rsidP="006A2938">
      <w:r>
        <w:rPr>
          <w:noProof/>
          <w:lang w:val="en-US"/>
        </w:rPr>
        <mc:AlternateContent>
          <mc:Choice Requires="wps">
            <w:drawing>
              <wp:anchor distT="0" distB="0" distL="114300" distR="114300" simplePos="0" relativeHeight="251656704" behindDoc="0" locked="0" layoutInCell="1" allowOverlap="1" wp14:anchorId="635DAC78" wp14:editId="1BAE5F12">
                <wp:simplePos x="0" y="0"/>
                <wp:positionH relativeFrom="column">
                  <wp:posOffset>4445</wp:posOffset>
                </wp:positionH>
                <wp:positionV relativeFrom="paragraph">
                  <wp:posOffset>3810</wp:posOffset>
                </wp:positionV>
                <wp:extent cx="365760" cy="274320"/>
                <wp:effectExtent l="0" t="0" r="15240" b="11430"/>
                <wp:wrapNone/>
                <wp:docPr id="1" name="Rectangle 1"/>
                <wp:cNvGraphicFramePr/>
                <a:graphic xmlns:a="http://schemas.openxmlformats.org/drawingml/2006/main">
                  <a:graphicData uri="http://schemas.microsoft.com/office/word/2010/wordprocessingShape">
                    <wps:wsp>
                      <wps:cNvSpPr/>
                      <wps:spPr>
                        <a:xfrm>
                          <a:off x="0" y="0"/>
                          <a:ext cx="365760" cy="2743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A2938" w:rsidRPr="00B73389" w:rsidRDefault="006A2938" w:rsidP="006A2938">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AC78" id="Rectangle 1" o:spid="_x0000_s1028" style="position:absolute;margin-left:.35pt;margin-top:.3pt;width:2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" fillcolor="white [3201]" strokecolor="black [3200]" strokeweight=".25pt">
                <v:textbox>
                  <w:txbxContent>
                    <w:p w:rsidR="006A2938" w:rsidRPr="00B73389" w:rsidRDefault="006A2938" w:rsidP="006A2938">
                      <w:pPr>
                        <w:jc w:val="center"/>
                        <w:rPr>
                          <w:color w:val="000000" w:themeColor="text1"/>
                        </w:rPr>
                      </w:pPr>
                      <w:r>
                        <w:rPr>
                          <w:color w:val="000000" w:themeColor="text1"/>
                        </w:rPr>
                        <w:t>(c)</w:t>
                      </w:r>
                    </w:p>
                  </w:txbxContent>
                </v:textbox>
              </v:rect>
            </w:pict>
          </mc:Fallback>
        </mc:AlternateContent>
      </w:r>
      <w:r>
        <w:rPr>
          <w:noProof/>
          <w:sz w:val="20"/>
          <w:lang w:val="en-US"/>
        </w:rPr>
        <w:drawing>
          <wp:inline distT="0" distB="0" distL="0" distR="0" wp14:anchorId="478ABA69" wp14:editId="301E2EA7">
            <wp:extent cx="2605415" cy="19519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0 60s 1.png"/>
                    <pic:cNvPicPr/>
                  </pic:nvPicPr>
                  <pic:blipFill rotWithShape="1">
                    <a:blip r:embed="rId12" cstate="print">
                      <a:extLst>
                        <a:ext uri="{28A0092B-C50C-407E-A947-70E740481C1C}">
                          <a14:useLocalDpi xmlns:a14="http://schemas.microsoft.com/office/drawing/2010/main" val="0"/>
                        </a:ext>
                      </a:extLst>
                    </a:blip>
                    <a:srcRect l="24" t="10735" r="-24" b="-10735"/>
                    <a:stretch/>
                  </pic:blipFill>
                  <pic:spPr bwMode="auto">
                    <a:xfrm>
                      <a:off x="0" y="0"/>
                      <a:ext cx="2606040" cy="1952458"/>
                    </a:xfrm>
                    <a:prstGeom prst="rect">
                      <a:avLst/>
                    </a:prstGeom>
                    <a:ln>
                      <a:noFill/>
                    </a:ln>
                    <a:extLst>
                      <a:ext uri="{53640926-AAD7-44D8-BBD7-CCE9431645EC}">
                        <a14:shadowObscured xmlns:a14="http://schemas.microsoft.com/office/drawing/2010/main"/>
                      </a:ext>
                    </a:extLst>
                  </pic:spPr>
                </pic:pic>
              </a:graphicData>
            </a:graphic>
          </wp:inline>
        </w:drawing>
      </w:r>
    </w:p>
    <w:p w:rsidR="006A2938" w:rsidRDefault="006A2938" w:rsidP="006A2938">
      <w:pPr>
        <w:pStyle w:val="Caption"/>
        <w:jc w:val="both"/>
        <w:rPr>
          <w:i w:val="0"/>
          <w:color w:val="auto"/>
          <w:sz w:val="22"/>
        </w:rPr>
      </w:pPr>
      <w:bookmarkStart w:id="3" w:name="_Ref58837986"/>
      <w:r w:rsidRPr="006A2938">
        <w:rPr>
          <w:i w:val="0"/>
          <w:color w:val="auto"/>
          <w:sz w:val="22"/>
        </w:rPr>
        <w:t xml:space="preserve">Figure </w:t>
      </w:r>
      <w:r w:rsidRPr="006A2938">
        <w:rPr>
          <w:i w:val="0"/>
          <w:color w:val="auto"/>
          <w:sz w:val="22"/>
        </w:rPr>
        <w:fldChar w:fldCharType="begin"/>
      </w:r>
      <w:r w:rsidRPr="006A2938">
        <w:rPr>
          <w:i w:val="0"/>
          <w:color w:val="auto"/>
          <w:sz w:val="22"/>
        </w:rPr>
        <w:instrText xml:space="preserve"> SEQ Figure \* ARABIC </w:instrText>
      </w:r>
      <w:r w:rsidRPr="006A2938">
        <w:rPr>
          <w:i w:val="0"/>
          <w:color w:val="auto"/>
          <w:sz w:val="22"/>
        </w:rPr>
        <w:fldChar w:fldCharType="separate"/>
      </w:r>
      <w:r w:rsidR="005015E0">
        <w:rPr>
          <w:i w:val="0"/>
          <w:noProof/>
          <w:color w:val="auto"/>
          <w:sz w:val="22"/>
        </w:rPr>
        <w:t>2</w:t>
      </w:r>
      <w:r w:rsidRPr="006A2938">
        <w:rPr>
          <w:i w:val="0"/>
          <w:color w:val="auto"/>
          <w:sz w:val="22"/>
        </w:rPr>
        <w:fldChar w:fldCharType="end"/>
      </w:r>
      <w:bookmarkEnd w:id="3"/>
      <w:r w:rsidRPr="006A2938">
        <w:rPr>
          <w:i w:val="0"/>
          <w:color w:val="auto"/>
          <w:sz w:val="22"/>
        </w:rPr>
        <w:t xml:space="preserve">: Microstructure formation for (a) sample 1 with the combination of 660 °C and 20 s; </w:t>
      </w:r>
      <w:r w:rsidR="00E42898">
        <w:rPr>
          <w:i w:val="0"/>
          <w:color w:val="auto"/>
          <w:sz w:val="22"/>
        </w:rPr>
        <w:br/>
      </w:r>
      <w:r w:rsidRPr="006A2938">
        <w:rPr>
          <w:i w:val="0"/>
          <w:color w:val="auto"/>
          <w:sz w:val="22"/>
        </w:rPr>
        <w:t>(b) sample 2 with the combination of 660 °C and 40 s; and (c) sample 3 with the combination of 660 °C and 60 s.</w:t>
      </w:r>
    </w:p>
    <w:p w:rsidR="006A2938" w:rsidRDefault="006A2938" w:rsidP="006A2938"/>
    <w:p w:rsidR="006A2938" w:rsidRDefault="006A2938" w:rsidP="006A2938"/>
    <w:p w:rsidR="005015E0" w:rsidRDefault="005015E0" w:rsidP="006A2938"/>
    <w:p w:rsidR="006A2938" w:rsidRDefault="006A2938" w:rsidP="006A2938"/>
    <w:p w:rsidR="006A2938" w:rsidRDefault="006A2938" w:rsidP="006A2938"/>
    <w:p w:rsidR="006A2938" w:rsidRDefault="006A2938" w:rsidP="006A2938"/>
    <w:p w:rsidR="006A2938" w:rsidRDefault="006A2938" w:rsidP="006A2938"/>
    <w:p w:rsidR="006A2938" w:rsidRDefault="006A2938" w:rsidP="006A2938"/>
    <w:p w:rsidR="006A2938" w:rsidRDefault="006A2938" w:rsidP="006A2938"/>
    <w:p w:rsidR="006A2938" w:rsidRDefault="006A2938" w:rsidP="006A2938"/>
    <w:p w:rsidR="006A2938" w:rsidRPr="006A2938" w:rsidRDefault="006A2938" w:rsidP="006A2938"/>
    <w:p w:rsidR="006A2938" w:rsidRPr="006A2938" w:rsidRDefault="006A2938" w:rsidP="006A2938">
      <w:pPr>
        <w:jc w:val="center"/>
      </w:pPr>
      <w:r>
        <w:rPr>
          <w:noProof/>
          <w:lang w:val="en-US"/>
        </w:rPr>
        <w:lastRenderedPageBreak/>
        <mc:AlternateContent>
          <mc:Choice Requires="wps">
            <w:drawing>
              <wp:anchor distT="0" distB="0" distL="114300" distR="114300" simplePos="0" relativeHeight="251659776" behindDoc="0" locked="0" layoutInCell="1" allowOverlap="1" wp14:anchorId="30862520" wp14:editId="254B1B69">
                <wp:simplePos x="0" y="0"/>
                <wp:positionH relativeFrom="column">
                  <wp:posOffset>0</wp:posOffset>
                </wp:positionH>
                <wp:positionV relativeFrom="paragraph">
                  <wp:posOffset>-635</wp:posOffset>
                </wp:positionV>
                <wp:extent cx="457200" cy="359410"/>
                <wp:effectExtent l="0" t="0" r="0" b="0"/>
                <wp:wrapNone/>
                <wp:docPr id="11" name="Rectangle 11"/>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938" w:rsidRPr="00B73389" w:rsidRDefault="006A2938" w:rsidP="006A2938">
                            <w:pPr>
                              <w:jc w:val="center"/>
                              <w:rPr>
                                <w:color w:val="000000" w:themeColor="text1"/>
                              </w:rPr>
                            </w:pPr>
                            <w:r>
                              <w:rPr>
                                <w:color w:val="000000" w:themeColor="text1"/>
                              </w:rPr>
                              <w:t>(</w:t>
                            </w:r>
                            <w:r w:rsidRPr="00B73389">
                              <w:rPr>
                                <w:color w:val="000000" w:themeColor="text1"/>
                              </w:rPr>
                              <w:t>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62520" id="Rectangle 11" o:spid="_x0000_s1029" style="position:absolute;left:0;text-align:left;margin-left:0;margin-top:-.05pt;width:36pt;height:2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" filled="f" stroked="f" strokeweight="2pt">
                <v:textbox>
                  <w:txbxContent>
                    <w:p w:rsidR="006A2938" w:rsidRPr="00B73389" w:rsidRDefault="006A2938" w:rsidP="006A2938">
                      <w:pPr>
                        <w:jc w:val="center"/>
                        <w:rPr>
                          <w:color w:val="000000" w:themeColor="text1"/>
                        </w:rPr>
                      </w:pPr>
                      <w:r>
                        <w:rPr>
                          <w:color w:val="000000" w:themeColor="text1"/>
                        </w:rPr>
                        <w:t>(</w:t>
                      </w:r>
                      <w:r w:rsidRPr="00B73389">
                        <w:rPr>
                          <w:color w:val="000000" w:themeColor="text1"/>
                        </w:rPr>
                        <w:t>a</w:t>
                      </w:r>
                      <w:r>
                        <w:rPr>
                          <w:color w:val="000000" w:themeColor="text1"/>
                        </w:rPr>
                        <w:t>)</w:t>
                      </w:r>
                    </w:p>
                  </w:txbxContent>
                </v:textbox>
              </v:rect>
            </w:pict>
          </mc:Fallback>
        </mc:AlternateContent>
      </w:r>
      <w:r>
        <w:rPr>
          <w:noProof/>
          <w:lang w:val="en-US"/>
        </w:rPr>
        <w:drawing>
          <wp:inline distT="0" distB="0" distL="0" distR="0" wp14:anchorId="4AFEEF98" wp14:editId="313A80DF">
            <wp:extent cx="4389120" cy="2286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2938" w:rsidRDefault="006A2938" w:rsidP="006A2938">
      <w:pPr>
        <w:jc w:val="center"/>
      </w:pPr>
      <w:r>
        <w:rPr>
          <w:noProof/>
          <w:lang w:val="en-US"/>
        </w:rPr>
        <mc:AlternateContent>
          <mc:Choice Requires="wps">
            <w:drawing>
              <wp:anchor distT="0" distB="0" distL="114300" distR="114300" simplePos="0" relativeHeight="251660800" behindDoc="0" locked="0" layoutInCell="1" allowOverlap="1" wp14:anchorId="30862520" wp14:editId="254B1B69">
                <wp:simplePos x="0" y="0"/>
                <wp:positionH relativeFrom="column">
                  <wp:posOffset>0</wp:posOffset>
                </wp:positionH>
                <wp:positionV relativeFrom="paragraph">
                  <wp:posOffset>-635</wp:posOffset>
                </wp:positionV>
                <wp:extent cx="457200" cy="359410"/>
                <wp:effectExtent l="0" t="0" r="0" b="0"/>
                <wp:wrapNone/>
                <wp:docPr id="13" name="Rectangle 13"/>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938" w:rsidRPr="00B73389" w:rsidRDefault="006A2938" w:rsidP="006A2938">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62520" id="Rectangle 13" o:spid="_x0000_s1030" style="position:absolute;left:0;text-align:left;margin-left:0;margin-top:-.05pt;width:36pt;height:2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" filled="f" stroked="f" strokeweight="2pt">
                <v:textbox>
                  <w:txbxContent>
                    <w:p w:rsidR="006A2938" w:rsidRPr="00B73389" w:rsidRDefault="006A2938" w:rsidP="006A2938">
                      <w:pPr>
                        <w:jc w:val="center"/>
                        <w:rPr>
                          <w:color w:val="000000" w:themeColor="text1"/>
                        </w:rPr>
                      </w:pPr>
                      <w:r>
                        <w:rPr>
                          <w:color w:val="000000" w:themeColor="text1"/>
                        </w:rPr>
                        <w:t>(b)</w:t>
                      </w:r>
                    </w:p>
                  </w:txbxContent>
                </v:textbox>
              </v:rect>
            </w:pict>
          </mc:Fallback>
        </mc:AlternateContent>
      </w:r>
      <w:r>
        <w:rPr>
          <w:noProof/>
          <w:lang w:val="en-US"/>
        </w:rPr>
        <w:drawing>
          <wp:inline distT="0" distB="0" distL="0" distR="0" wp14:anchorId="2F32277B" wp14:editId="322169A2">
            <wp:extent cx="438912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A2938" w:rsidRDefault="006A2938" w:rsidP="006A2938"/>
    <w:p w:rsidR="006A2938" w:rsidRDefault="006A2938" w:rsidP="006A2938">
      <w:pPr>
        <w:jc w:val="center"/>
      </w:pPr>
      <w:r>
        <w:rPr>
          <w:noProof/>
          <w:lang w:val="en-US"/>
        </w:rPr>
        <mc:AlternateContent>
          <mc:Choice Requires="wps">
            <w:drawing>
              <wp:anchor distT="0" distB="0" distL="114300" distR="114300" simplePos="0" relativeHeight="251661824" behindDoc="0" locked="0" layoutInCell="1" allowOverlap="1" wp14:anchorId="30862520" wp14:editId="254B1B69">
                <wp:simplePos x="0" y="0"/>
                <wp:positionH relativeFrom="column">
                  <wp:posOffset>0</wp:posOffset>
                </wp:positionH>
                <wp:positionV relativeFrom="paragraph">
                  <wp:posOffset>-635</wp:posOffset>
                </wp:positionV>
                <wp:extent cx="457200" cy="359410"/>
                <wp:effectExtent l="0" t="0" r="0" b="0"/>
                <wp:wrapNone/>
                <wp:docPr id="14" name="Rectangle 14"/>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938" w:rsidRPr="00B73389" w:rsidRDefault="006A2938" w:rsidP="006A2938">
                            <w:pPr>
                              <w:jc w:val="cente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62520" id="Rectangle 14" o:spid="_x0000_s1031" style="position:absolute;left:0;text-align:left;margin-left:0;margin-top:-.05pt;width:36pt;height:2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" filled="f" stroked="f" strokeweight="2pt">
                <v:textbox>
                  <w:txbxContent>
                    <w:p w:rsidR="006A2938" w:rsidRPr="00B73389" w:rsidRDefault="006A2938" w:rsidP="006A2938">
                      <w:pPr>
                        <w:jc w:val="center"/>
                        <w:rPr>
                          <w:color w:val="000000" w:themeColor="text1"/>
                        </w:rPr>
                      </w:pPr>
                      <w:r>
                        <w:rPr>
                          <w:color w:val="000000" w:themeColor="text1"/>
                        </w:rPr>
                        <w:t>(c)</w:t>
                      </w:r>
                    </w:p>
                  </w:txbxContent>
                </v:textbox>
              </v:rect>
            </w:pict>
          </mc:Fallback>
        </mc:AlternateContent>
      </w:r>
      <w:r>
        <w:rPr>
          <w:noProof/>
          <w:lang w:val="en-US"/>
        </w:rPr>
        <w:drawing>
          <wp:inline distT="0" distB="0" distL="0" distR="0" wp14:anchorId="28B44F9A" wp14:editId="285E8776">
            <wp:extent cx="438912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2938" w:rsidRDefault="006A2938" w:rsidP="006A2938">
      <w:pPr>
        <w:pStyle w:val="Caption"/>
        <w:jc w:val="both"/>
        <w:rPr>
          <w:i w:val="0"/>
          <w:color w:val="auto"/>
          <w:sz w:val="22"/>
        </w:rPr>
      </w:pPr>
      <w:bookmarkStart w:id="4" w:name="_Ref58837994"/>
      <w:r w:rsidRPr="006A2938">
        <w:rPr>
          <w:i w:val="0"/>
          <w:color w:val="auto"/>
          <w:sz w:val="22"/>
        </w:rPr>
        <w:t xml:space="preserve">Figure </w:t>
      </w:r>
      <w:r w:rsidRPr="006A2938">
        <w:rPr>
          <w:i w:val="0"/>
          <w:color w:val="auto"/>
          <w:sz w:val="22"/>
        </w:rPr>
        <w:fldChar w:fldCharType="begin"/>
      </w:r>
      <w:r w:rsidRPr="006A2938">
        <w:rPr>
          <w:i w:val="0"/>
          <w:color w:val="auto"/>
          <w:sz w:val="22"/>
        </w:rPr>
        <w:instrText xml:space="preserve"> SEQ Figure \* ARABIC </w:instrText>
      </w:r>
      <w:r w:rsidRPr="006A2938">
        <w:rPr>
          <w:i w:val="0"/>
          <w:color w:val="auto"/>
          <w:sz w:val="22"/>
        </w:rPr>
        <w:fldChar w:fldCharType="separate"/>
      </w:r>
      <w:r w:rsidR="005015E0">
        <w:rPr>
          <w:i w:val="0"/>
          <w:noProof/>
          <w:color w:val="auto"/>
          <w:sz w:val="22"/>
        </w:rPr>
        <w:t>3</w:t>
      </w:r>
      <w:r w:rsidRPr="006A2938">
        <w:rPr>
          <w:i w:val="0"/>
          <w:color w:val="auto"/>
          <w:sz w:val="22"/>
        </w:rPr>
        <w:fldChar w:fldCharType="end"/>
      </w:r>
      <w:bookmarkEnd w:id="4"/>
      <w:r w:rsidRPr="006A2938">
        <w:rPr>
          <w:i w:val="0"/>
          <w:color w:val="auto"/>
          <w:sz w:val="22"/>
        </w:rPr>
        <w:t xml:space="preserve">: Average grain size measurement with (a) grain size; (b) circularity; and (c) aspect ratio. </w:t>
      </w:r>
    </w:p>
    <w:p w:rsidR="005015E0" w:rsidRPr="005015E0" w:rsidRDefault="00182C5D" w:rsidP="005015E0">
      <w:pPr>
        <w:pStyle w:val="ListParagraph"/>
        <w:numPr>
          <w:ilvl w:val="0"/>
          <w:numId w:val="7"/>
        </w:numPr>
        <w:rPr>
          <w:i/>
        </w:rPr>
      </w:pPr>
      <w:r w:rsidRPr="005015E0">
        <w:rPr>
          <w:i/>
        </w:rPr>
        <w:t xml:space="preserve">The effect </w:t>
      </w:r>
      <w:r w:rsidR="005015E0" w:rsidRPr="005015E0">
        <w:rPr>
          <w:i/>
        </w:rPr>
        <w:t>of pouring temperature the aluminium alloy 606</w:t>
      </w:r>
      <w:r w:rsidR="005015E0">
        <w:rPr>
          <w:i/>
        </w:rPr>
        <w:t>1 microstructure produced by DTM.</w:t>
      </w:r>
    </w:p>
    <w:p w:rsidR="005015E0" w:rsidRDefault="005015E0" w:rsidP="008A02DA">
      <w:pPr>
        <w:jc w:val="both"/>
      </w:pPr>
      <w:r w:rsidRPr="005015E0">
        <w:t xml:space="preserve">There was a significant difference in microstructure between three samples quenched at various combinations of pouring temperature and holding time. Sample 1 with a pouring temperature of </w:t>
      </w:r>
      <w:r w:rsidR="00E42898">
        <w:br/>
      </w:r>
      <w:r w:rsidRPr="005015E0">
        <w:t>660 ° C with 20 s of holding time produced small grain size particles at 2547.87 µm</w:t>
      </w:r>
      <w:r w:rsidRPr="00E42898">
        <w:rPr>
          <w:vertAlign w:val="superscript"/>
        </w:rPr>
        <w:t>2</w:t>
      </w:r>
      <w:r w:rsidRPr="005015E0">
        <w:t xml:space="preserve">. According to the previous research, a lower pouring temperature could lead to the smaller primary and secondary phases in the grain and </w:t>
      </w:r>
      <w:r>
        <w:t>produce</w:t>
      </w:r>
      <w:r w:rsidRPr="005015E0">
        <w:t xml:space="preserve"> more globular microstructure</w:t>
      </w:r>
      <w:r w:rsidR="00324C03">
        <w:t xml:space="preserve"> </w:t>
      </w:r>
      <w:r w:rsidR="00324C03">
        <w:fldChar w:fldCharType="begin" w:fldLock="1"/>
      </w:r>
      <w:r w:rsidR="00324C03">
        <w:instrText>ADDIN CSL_CITATION {"citationItems":[{"id":"ITEM-1","itemData":{"DOI":"10.1080/10426914.2013.822980","author":[{"dropping-particle":"","family":"Ahmad","given":"Asnul Hadi","non-dropping-particle":"","parse-names":false,"suffix":""},{"dropping-particle":"","family":"Naher","given":"Sumsun","non-dropping-particle":"","parse-names":false,"suffix":""},{"dropping-particle":"","family":"Brabazon","given":"Dermot","non-dropping-particle":"","parse-names":false,"suffix":""}],"id":"ITEM-1","issue":"March","issued":{"date-parts":[["2014"]]},"title":"The Effect of Direct Thermal Method , Temperature and Time on Microstructure of a cast aluminium alloy","type":"article-journal"},"uris":["http://www.mendeley.com/documents/?uuid=3ec5eb81-6b79-4ea9-9090-71d0788d49df"]},{"id":"ITEM-2","itemData":{"DOI":"10.1080/10426910903447279","ISSN":"10426914","abstract":"The deformation behaviors of A356 alloy with various initial grain structures, from a very coarse dendrite to a fine equiaxed structure, prepared at different pouring temperatures, from 625°C to 725°C, were investigated. Cylindrical specimens with 12mm in diameter and 10mm in height were compressed in the semisolid state to a height reduction of 6mm at an initial strain rate of 1.3910-3/s and then jumped to 1.3910 -2/s. The instantaneous strain rate sensitivity was calculated under iso-structure conditions. Three very different deformation behaviors have been observed, which are believed to have resulted from their different starting microstructures. The materials produced at low pouring temperatures evolve into a fine globular structure after isothermal holding at semisolid region and shows a very low compression stress, while the materials cast at high pouring temperatures remain as coarse and dendritic in its microstructure and have much higher compression stress. The macrostructural breakage and microstructural segregation of hot compressed samples were analyzed, and the deformation mechanisms were discussed. The low temperature poured material is not sensitive to an instantaneous change in strain rate, while the high temperature poured material is very sensitive. © Taylor &amp; Francis Group, LLC.","author":[{"dropping-particle":"","family":"Ning","given":"Z. L.","non-dropping-particle":"","parse-names":false,"suffix":""},{"dropping-particle":"","family":"Wang","given":"H.","non-dropping-particle":"","parse-names":false,"suffix":""},{"dropping-particle":"","family":"Sun","given":"J. F.","non-dropping-particle":"","parse-names":false,"suffix":""}],"container-title":"Materials and Manufacturing Processes","id":"ITEM-2","issue":"7","issued":{"date-parts":[["2010"]]},"page":"648-653","title":"Deformation behavior of semisolid a356 alloy prepared by low temperature pouring","type":"article-journal","volume":"25"},"uris":["http://www.mendeley.com/documents/?uuid=e74787e0-5b42-486f-8184-aebe6fd8d6ff"]},{"id":"ITEM-3","itemData":{"DOI":"10.1016/j.matdes.2011.01.002","ISSN":"02641275","abstract":"The combination of thermal rate treatment and low temperature pouring was proposed in the present work, and the effects of the novel melt thermal treatment on microstructure and tensile properties of AlSi7Mg alloy have been investigated. The grain size and microstructure of AlSi7Mg alloy were examined by optical microscopy (OM) and scanning electron microscopy (SEM). It was found that the grain size obviously reduced and the growth of the columnar dendrites changed into equiaxed ones by low temperature pouring, especially the novel melt thermal treatment, by which a maximum microstructure refining effect could be obtained. The refinement can be attributed to the multiplication of the nuclei in the melt. Furthermore, the morphology of eutectic silicon changed little, but the size of silicon phase was finer due to the refinement of the grain size and higher cooling rate. Because of the refinement of the grain size and eutectic silicon, the tensile properties were improved, and the ultimate tensile strength and elongation increased by 11.7% and 35.3%, respectively. © 2011 Elsevier Ltd.","author":[{"dropping-particle":"","family":"Wang","given":"Hongwei","non-dropping-particle":"","parse-names":false,"suffix":""},{"dropping-particle":"","family":"Li","given":"Bao","non-dropping-particle":"","parse-names":false,"suffix":""},{"dropping-particle":"","family":"Jie","given":"Jinchuan","non-dropping-particle":"","parse-names":false,"suffix":""},{"dropping-particle":"","family":"Wei","given":"Zunjie","non-dropping-particle":"","parse-names":false,"suffix":""}],"container-title":"Materials and Design","id":"ITEM-3","issue":"5","issued":{"date-parts":[["2011"]]},"page":"2992-2996","publisher":"Elsevier Ltd","title":"Influence of thermal rate treatment and low temperature pouring on microstructure and tensile properties of AlSi7Mg alloy","type":"article-journal","volume":"32"},"uris":["http://www.mendeley.com/documents/?uuid=33a53ae2-1f3a-4dc2-9657-1747bd453843"]}],"mendeley":{"formattedCitation":"[6], [18], [19]","manualFormatting":"[6, 18- 19]","plainTextFormattedCitation":"[6], [18], [19]","previouslyFormattedCitation":"[6], [18], [19]"},"properties":{"noteIndex":0},"schema":"https://github.com/citation-style-language/schema/raw/master/csl-citation.json"}</w:instrText>
      </w:r>
      <w:r w:rsidR="00324C03">
        <w:fldChar w:fldCharType="separate"/>
      </w:r>
      <w:r w:rsidR="00324C03" w:rsidRPr="00324C03">
        <w:rPr>
          <w:noProof/>
        </w:rPr>
        <w:t>[6, 18</w:t>
      </w:r>
      <w:r w:rsidR="00324C03">
        <w:rPr>
          <w:noProof/>
        </w:rPr>
        <w:t>-</w:t>
      </w:r>
      <w:r w:rsidR="00324C03" w:rsidRPr="00324C03">
        <w:rPr>
          <w:noProof/>
        </w:rPr>
        <w:t xml:space="preserve"> 19]</w:t>
      </w:r>
      <w:r w:rsidR="00324C03">
        <w:fldChar w:fldCharType="end"/>
      </w:r>
      <w:r w:rsidRPr="005015E0">
        <w:t xml:space="preserve">. The pouring temperature </w:t>
      </w:r>
      <w:r w:rsidR="00E42898">
        <w:lastRenderedPageBreak/>
        <w:t>which</w:t>
      </w:r>
      <w:r w:rsidRPr="005015E0">
        <w:t xml:space="preserve"> has been used in this work </w:t>
      </w:r>
      <w:r w:rsidR="00E42898">
        <w:t>was</w:t>
      </w:r>
      <w:r w:rsidRPr="005015E0">
        <w:t xml:space="preserve"> just slightly above the liquidus temperature that provides fewer superheated to be extracted from the copper</w:t>
      </w:r>
      <w:r w:rsidR="00E42898">
        <w:t>,</w:t>
      </w:r>
      <w:r w:rsidRPr="005015E0">
        <w:t xml:space="preserve"> </w:t>
      </w:r>
      <w:r w:rsidR="00E42898" w:rsidRPr="005015E0">
        <w:t>lead t</w:t>
      </w:r>
      <w:r w:rsidR="00E42898">
        <w:t xml:space="preserve">o </w:t>
      </w:r>
      <w:r w:rsidRPr="005015E0">
        <w:t xml:space="preserve">higher cooling rates. The formation of globular microstructure </w:t>
      </w:r>
      <w:r w:rsidR="00E42898">
        <w:t>was</w:t>
      </w:r>
      <w:r w:rsidRPr="005015E0">
        <w:t xml:space="preserve"> slow down when the low pouring temperature of molten metal</w:t>
      </w:r>
      <w:r w:rsidR="00E42898">
        <w:t xml:space="preserve"> was</w:t>
      </w:r>
      <w:r>
        <w:t xml:space="preserve"> used before th</w:t>
      </w:r>
      <w:r w:rsidRPr="005015E0">
        <w:t xml:space="preserve">e solidification process </w:t>
      </w:r>
      <w:r w:rsidR="00324C03">
        <w:fldChar w:fldCharType="begin" w:fldLock="1"/>
      </w:r>
      <w:r w:rsidR="00324C03">
        <w:instrText>ADDIN CSL_CITATION {"citationItems":[{"id":"ITEM-1","itemData":{"DOI":"10.1080/10426914.2013.822980","author":[{"dropping-particle":"","family":"Ahmad","given":"Asnul Hadi","non-dropping-particle":"","parse-names":false,"suffix":""},{"dropping-particle":"","family":"Naher","given":"Sumsun","non-dropping-particle":"","parse-names":false,"suffix":""},{"dropping-particle":"","family":"Brabazon","given":"Dermot","non-dropping-particle":"","parse-names":false,"suffix":""}],"id":"ITEM-1","issue":"March","issued":{"date-parts":[["2014"]]},"title":"The Effect of Direct Thermal Method , Temperature and Time on Microstructure of a cast aluminium alloy","type":"article-journal"},"uris":["http://www.mendeley.com/documents/?uuid=3ec5eb81-6b79-4ea9-9090-71d0788d49df"]},{"id":"ITEM-2","itemData":{"DOI":"10.4028/www.scientific.net/AMR.939.400","ISBN":"9783038350972","ISSN":"1662-8985","abstract":"The evolution of microstructure affect from different pouring temperatures and holding times using a direct thermal method is presented in this paper. The direct thermal method is one of the thermal techniques which are used to produce semi-solid metal feedstock. In this experimental work, aluminium 7075 alloy was used. The experiments were carried out by processing a sample with a 0.7 °C/s cooling rate to evaluate the formation of the microstructure. In direct thermal method experiment, a molten 7075 was poured into a cylindrical copper mould at different pouring temperatures of 680 °C and 660 °C meanwhile the holding time of 20 s, 40 s and 60 s before quenched into room temperature water. The sample processed by the cooling rate of 0.7 °C/s produced a large microstructure. The formation of a spheroidal microstructure was obtained with the combination of a suitable pouring temperature and holding time. The pouring temperature of 665 °C and the holding time of 60 s produced a finer and uniform microstructure that is suitable for semi-solid feedstock. © (2014) Trans Tech Publications, Switzerland.","author":[{"dropping-particle":"","family":"Ahmad","given":"Asnul Hadi","non-dropping-particle":"","parse-names":false,"suffix":""},{"dropping-particle":"","family":"Naher","given":"Sumsun","non-dropping-particle":"","parse-names":false,"suffix":""},{"dropping-particle":"","family":"Brabazon","given":"Dermot","non-dropping-particle":"","parse-names":false,"suffix":""}],"container-title":"Advanced Materials Research","id":"ITEM-2","issued":{"date-parts":[["2014"]]},"page":"400-408","title":"Direct Thermal Method of Aluminium 7075","type":"article-journal","volume":"939"},"uris":["http://www.mendeley.com/documents/?uuid=8efe29f9-b278-48eb-858f-9263b016a7cb"]}],"mendeley":{"formattedCitation":"[6], [20]","manualFormatting":"[6, 20]","plainTextFormattedCitation":"[6], [20]","previouslyFormattedCitation":"[6], [20]"},"properties":{"noteIndex":0},"schema":"https://github.com/citation-style-language/schema/raw/master/csl-citation.json"}</w:instrText>
      </w:r>
      <w:r w:rsidR="00324C03">
        <w:fldChar w:fldCharType="separate"/>
      </w:r>
      <w:r w:rsidR="00324C03" w:rsidRPr="00324C03">
        <w:rPr>
          <w:noProof/>
        </w:rPr>
        <w:t>[6, 20]</w:t>
      </w:r>
      <w:r w:rsidR="00324C03">
        <w:fldChar w:fldCharType="end"/>
      </w:r>
      <w:r w:rsidR="00324C03">
        <w:t>.</w:t>
      </w:r>
      <w:r w:rsidRPr="005015E0">
        <w:t xml:space="preserve"> The rapid cooling process happened as the aluminium alloy was cooled from low superheat inside the copper mould. The heat extraction provided by the cylindrical copper mould allowed the superheated aluminium to be rapid</w:t>
      </w:r>
      <w:r>
        <w:t>ly</w:t>
      </w:r>
      <w:r w:rsidRPr="005015E0">
        <w:t xml:space="preserve"> cooled into the semisolid state. The rapid cooling process improves multiple nucleation formation during </w:t>
      </w:r>
      <w:r>
        <w:t xml:space="preserve">the </w:t>
      </w:r>
      <w:r w:rsidR="00324C03">
        <w:t xml:space="preserve">solidification process </w:t>
      </w:r>
      <w:r w:rsidR="00324C03">
        <w:fldChar w:fldCharType="begin" w:fldLock="1"/>
      </w:r>
      <w:r w:rsidR="00324C03">
        <w:instrText>ADDIN CSL_CITATION {"citationItems":[{"id":"ITEM-1","itemData":{"DOI":"10.4028/www.scientific.net/AMR.939.400","author":[{"dropping-particle":"","family":"Ahmad","given":"A H","non-dropping-particle":"","parse-names":false,"suffix":""},{"dropping-particle":"","family":"Naher","given":"S","non-dropping-particle":"","parse-names":false,"suffix":""},{"dropping-particle":"","family":"Brabazon","given":"D","non-dropping-particle":"","parse-names":false,"suffix":""}],"id":"ITEM-1","issued":{"date-parts":[["2014"]]},"page":"400-408","title":"Direct Thermal Method of Aluminium 7075","type":"article-journal","volume":"939"},"uris":["http://www.mendeley.com/documents/?uuid=d3ede09f-fc5c-4d6c-b9f4-c637a3a32319"]}],"mendeley":{"formattedCitation":"[17]","plainTextFormattedCitation":"[17]","previouslyFormattedCitation":"[17]"},"properties":{"noteIndex":0},"schema":"https://github.com/citation-style-language/schema/raw/master/csl-citation.json"}</w:instrText>
      </w:r>
      <w:r w:rsidR="00324C03">
        <w:fldChar w:fldCharType="separate"/>
      </w:r>
      <w:r w:rsidR="00324C03" w:rsidRPr="00324C03">
        <w:rPr>
          <w:noProof/>
        </w:rPr>
        <w:t>[17]</w:t>
      </w:r>
      <w:r w:rsidR="00324C03">
        <w:fldChar w:fldCharType="end"/>
      </w:r>
      <w:r w:rsidR="00324C03">
        <w:t xml:space="preserve">. </w:t>
      </w:r>
      <w:r w:rsidRPr="005015E0">
        <w:t>The combination with a pouring temperature of 660 °C and holding time of 20 s results in more globular microstructure at 0.75 compared to other samples. The globular microstructure increases the fluidity of the a</w:t>
      </w:r>
      <w:r w:rsidR="00324C03">
        <w:t>lloy during the shaping process</w:t>
      </w:r>
      <w:r w:rsidRPr="005015E0">
        <w:t>. The small</w:t>
      </w:r>
      <w:r w:rsidR="00E42898">
        <w:t>er</w:t>
      </w:r>
      <w:r w:rsidRPr="005015E0">
        <w:t xml:space="preserve"> and </w:t>
      </w:r>
      <w:r w:rsidR="00E42898">
        <w:t xml:space="preserve">more </w:t>
      </w:r>
      <w:r w:rsidRPr="005015E0">
        <w:t xml:space="preserve">globular microstructure produces good formability due to the good movement of the particles and less collision between the particles within the microstructure </w:t>
      </w:r>
      <w:r w:rsidR="00324C03">
        <w:fldChar w:fldCharType="begin" w:fldLock="1"/>
      </w:r>
      <w:r w:rsidR="00324C03">
        <w:instrText>ADDIN CSL_CITATION {"citationItems":[{"id":"ITEM-1","itemData":{"DOI":"10.1007/BF02661090","author":[{"dropping-particle":"","family":"Flemings","given":"M","non-dropping-particle":"","parse-names":false,"suffix":""}],"container-title":"Metallurgical and Materials Transactions A-physical Metallurgy and Materials Science - METALL MATER TRANS A","id":"ITEM-1","issued":{"date-parts":[["1991","6","1"]]},"page":"957-981","title":"Behavior of Metal Alloys in the Semisolid State","type":"article-journal","volume":"22"},"uris":["http://www.mendeley.com/documents/?uuid=168a4563-fac2-41b7-898f-b7f178b3ed33"]},{"id":"ITEM-2","itemData":{"DOI":"10.1179/095066001225001076","ISSN":"0950-6608","author":[{"dropping-particle":"","family":"Fan","given":"Z","non-dropping-particle":"","parse-names":false,"suffix":""}],"container-title":"International Materials Reviews","id":"ITEM-2","issue":"2","issued":{"date-parts":[["2002","4","1"]]},"note":"doi: 10.1179/095066001225001076","page":"49-85","publisher":"Taylor &amp; Francis","title":"Semisolid metal processing","type":"article-journal","volume":"47"},"uris":["http://www.mendeley.com/documents/?uuid=8b1dd859-82b1-4beb-be0d-115f87897345"]}],"mendeley":{"formattedCitation":"[21], [22]","manualFormatting":"[21- 22]","plainTextFormattedCitation":"[21], [22]","previouslyFormattedCitation":"[21], [22]"},"properties":{"noteIndex":0},"schema":"https://github.com/citation-style-language/schema/raw/master/csl-citation.json"}</w:instrText>
      </w:r>
      <w:r w:rsidR="00324C03">
        <w:fldChar w:fldCharType="separate"/>
      </w:r>
      <w:r w:rsidR="00324C03" w:rsidRPr="00324C03">
        <w:rPr>
          <w:noProof/>
        </w:rPr>
        <w:t>[21</w:t>
      </w:r>
      <w:r w:rsidR="00324C03">
        <w:rPr>
          <w:noProof/>
        </w:rPr>
        <w:t xml:space="preserve">- </w:t>
      </w:r>
      <w:r w:rsidR="00324C03" w:rsidRPr="00324C03">
        <w:rPr>
          <w:noProof/>
        </w:rPr>
        <w:t>22]</w:t>
      </w:r>
      <w:r w:rsidR="00324C03">
        <w:fldChar w:fldCharType="end"/>
      </w:r>
      <w:r w:rsidR="00324C03">
        <w:t>.</w:t>
      </w:r>
    </w:p>
    <w:p w:rsidR="005015E0" w:rsidRDefault="005015E0" w:rsidP="005015E0">
      <w:pPr>
        <w:jc w:val="both"/>
      </w:pPr>
    </w:p>
    <w:p w:rsidR="005015E0" w:rsidRPr="005015E0" w:rsidRDefault="005015E0" w:rsidP="005015E0">
      <w:pPr>
        <w:pStyle w:val="ListParagraph"/>
        <w:numPr>
          <w:ilvl w:val="0"/>
          <w:numId w:val="7"/>
        </w:numPr>
        <w:rPr>
          <w:i/>
        </w:rPr>
      </w:pPr>
      <w:r w:rsidRPr="005015E0">
        <w:rPr>
          <w:i/>
        </w:rPr>
        <w:t>The effect of holding time on the aluminium 606</w:t>
      </w:r>
      <w:r>
        <w:rPr>
          <w:i/>
        </w:rPr>
        <w:t>1 microstructure produced by DTM.</w:t>
      </w:r>
    </w:p>
    <w:p w:rsidR="006A2938" w:rsidRDefault="005015E0" w:rsidP="005015E0">
      <w:pPr>
        <w:jc w:val="both"/>
      </w:pPr>
      <w:r w:rsidRPr="005015E0">
        <w:t xml:space="preserve">Holding time was primarily intended to ensure that enough solid fraction was achieved before the quenching process. The larger grain size of alloy microstructure caused by the longer holding time used before </w:t>
      </w:r>
      <w:r>
        <w:t xml:space="preserve">the </w:t>
      </w:r>
      <w:r w:rsidRPr="005015E0">
        <w:t>solidification process</w:t>
      </w:r>
      <w:r w:rsidR="00324C03">
        <w:t xml:space="preserve"> </w:t>
      </w:r>
      <w:r w:rsidR="00324C03">
        <w:fldChar w:fldCharType="begin" w:fldLock="1"/>
      </w:r>
      <w:r w:rsidR="00324C03">
        <w:instrText>ADDIN CSL_CITATION {"citationItems":[{"id":"ITEM-1","itemData":{"DOI":"10.1080/10426914.2013.822980","author":[{"dropping-particle":"","family":"Ahmad","given":"Asnul Hadi","non-dropping-particle":"","parse-names":false,"suffix":""},{"dropping-particle":"","family":"Naher","given":"Sumsun","non-dropping-particle":"","parse-names":false,"suffix":""},{"dropping-particle":"","family":"Brabazon","given":"Dermot","non-dropping-particle":"","parse-names":false,"suffix":""}],"id":"ITEM-1","issue":"March","issued":{"date-parts":[["2014"]]},"title":"The Effect of Direct Thermal Method , Temperature and Time on Microstructure of a cast aluminium alloy","type":"article-journal"},"uris":["http://www.mendeley.com/documents/?uuid=3ec5eb81-6b79-4ea9-9090-71d0788d49df"]}],"mendeley":{"formattedCitation":"[6]","plainTextFormattedCitation":"[6]","previouslyFormattedCitation":"[6]"},"properties":{"noteIndex":0},"schema":"https://github.com/citation-style-language/schema/raw/master/csl-citation.json"}</w:instrText>
      </w:r>
      <w:r w:rsidR="00324C03">
        <w:fldChar w:fldCharType="separate"/>
      </w:r>
      <w:r w:rsidR="00324C03" w:rsidRPr="00324C03">
        <w:rPr>
          <w:noProof/>
        </w:rPr>
        <w:t>[6]</w:t>
      </w:r>
      <w:r w:rsidR="00324C03">
        <w:fldChar w:fldCharType="end"/>
      </w:r>
      <w:r w:rsidRPr="005015E0">
        <w:t xml:space="preserve">. The combination </w:t>
      </w:r>
      <w:r w:rsidR="00E42898">
        <w:t>of</w:t>
      </w:r>
      <w:r w:rsidRPr="005015E0">
        <w:t xml:space="preserve"> </w:t>
      </w:r>
      <w:r>
        <w:t xml:space="preserve">a </w:t>
      </w:r>
      <w:r w:rsidRPr="005015E0">
        <w:t>pouring temperature of 660 ° C and holding time of 60 s results in the largest grain formation at 3510.54 µm</w:t>
      </w:r>
      <w:r w:rsidRPr="00E42898">
        <w:rPr>
          <w:vertAlign w:val="superscript"/>
        </w:rPr>
        <w:t>2</w:t>
      </w:r>
      <w:r w:rsidRPr="005015E0">
        <w:t>. The formation of globular microstructure and smaller grain size determined by the volume of fraction solid in molten aluminium alloy before it was quenched into the water tank</w:t>
      </w:r>
      <w:r w:rsidR="00E42898">
        <w:t xml:space="preserve"> </w:t>
      </w:r>
      <w:r w:rsidR="00324C03">
        <w:fldChar w:fldCharType="begin" w:fldLock="1"/>
      </w:r>
      <w:r w:rsidR="00324C03">
        <w:instrText>ADDIN CSL_CITATION {"citationItems":[{"id":"ITEM-1","itemData":{"DOI":"10.1016/j.matchemphys.2012.05.053","ISBN":"8415683111","ISSN":"02540584","abstract":"Growth morphology of succinonitrile crystals under different cooling and stirring conditions was experimentally investigated by real time microscopic observation of the solidifying melt. It was found that under laminar fluid flow conditions, the solidified crystals exhibited equiaxed dendritic morphology immediately after the beginning of solidification. On the other hand, under turbulent fluid flow conditions the growth of solid particles followed a spherical mode with a high growth velocity from the initial stages of solidification. When the stirring was combined with rapid heat extraction from the rotor, a mushy layer was observed to form around the rotating chill. Under turbulent conditions, detachment of dendrite arms from this layer of rapidly coarsened dendrites is suggested to be the origin of the spherical particles in the microstructure. Formation of the layer was experimentally confirmed for an Al-Si alloy. The new findings can be used for more effective refinement of rheocast microstructures. © 2012 Elsevier B.V. All rights reserved.","author":[{"dropping-particle":"","family":"Reisi","given":"Mehdi","non-dropping-particle":"","parse-names":false,"suffix":""},{"dropping-particle":"","family":"Niroumand","given":"Behzad","non-dropping-particle":"","parse-names":false,"suffix":""}],"container-title":"Materials Chemistry and Physics","id":"ITEM-1","issue":"2-3","issued":{"date-parts":[["2012"]]},"page":"738-748","publisher":"Elsevier B.V","title":"Initial stages of solidification during semisolid processing of a transparent model material","type":"article-journal","volume":"135"},"uris":["http://www.mendeley.com/documents/?uuid=e0565abe-92e4-4696-8913-3dd111abb17a"]}],"mendeley":{"formattedCitation":"[23]","plainTextFormattedCitation":"[23]","previouslyFormattedCitation":"[23]"},"properties":{"noteIndex":0},"schema":"https://github.com/citation-style-language/schema/raw/master/csl-citation.json"}</w:instrText>
      </w:r>
      <w:r w:rsidR="00324C03">
        <w:fldChar w:fldCharType="separate"/>
      </w:r>
      <w:r w:rsidR="00324C03" w:rsidRPr="00324C03">
        <w:rPr>
          <w:noProof/>
        </w:rPr>
        <w:t>[23]</w:t>
      </w:r>
      <w:r w:rsidR="00324C03">
        <w:fldChar w:fldCharType="end"/>
      </w:r>
      <w:r w:rsidRPr="005015E0">
        <w:t>. The longer holding time promoted the grain to develop to each other within the alloy and produced a larger grain size. According to previous research, the fraction solid inside the alloy increase as it reached solidus temperature during the solidification process. The formation of nuclei become larger because of the rise in solid fraction d</w:t>
      </w:r>
      <w:r w:rsidR="00324C03">
        <w:t xml:space="preserve">uring the solidification process </w:t>
      </w:r>
      <w:r w:rsidR="00324C03">
        <w:fldChar w:fldCharType="begin" w:fldLock="1"/>
      </w:r>
      <w:r w:rsidR="00324C03">
        <w:instrText>ADDIN CSL_CITATION {"citationItems":[{"id":"ITEM-1","itemData":{"DOI":"10.1080/10426914.2013.822980","author":[{"dropping-particle":"","family":"Ahmad","given":"Asnul Hadi","non-dropping-particle":"","parse-names":false,"suffix":""},{"dropping-particle":"","family":"Naher","given":"Sumsun","non-dropping-particle":"","parse-names":false,"suffix":""},{"dropping-particle":"","family":"Brabazon","given":"Dermot","non-dropping-particle":"","parse-names":false,"suffix":""}],"id":"ITEM-1","issue":"March","issued":{"date-parts":[["2014"]]},"title":"The Effect of Direct Thermal Method , Temperature and Time on Microstructure of a cast aluminium alloy","type":"article-journal"},"uris":["http://www.mendeley.com/documents/?uuid=3ec5eb81-6b79-4ea9-9090-71d0788d49df"]}],"mendeley":{"formattedCitation":"[6]","plainTextFormattedCitation":"[6]","previouslyFormattedCitation":"[6]"},"properties":{"noteIndex":0},"schema":"https://github.com/citation-style-language/schema/raw/master/csl-citation.json"}</w:instrText>
      </w:r>
      <w:r w:rsidR="00324C03">
        <w:fldChar w:fldCharType="separate"/>
      </w:r>
      <w:r w:rsidR="00324C03" w:rsidRPr="00324C03">
        <w:rPr>
          <w:noProof/>
        </w:rPr>
        <w:t>[6]</w:t>
      </w:r>
      <w:r w:rsidR="00324C03">
        <w:fldChar w:fldCharType="end"/>
      </w:r>
      <w:r w:rsidRPr="005015E0">
        <w:t xml:space="preserve">. The volume of fraction solid in the molten aluminium alloy 6061 </w:t>
      </w:r>
      <w:r w:rsidR="00E42898">
        <w:t>was</w:t>
      </w:r>
      <w:r w:rsidRPr="005015E0">
        <w:t xml:space="preserve"> one of the essential processing parameters in SSM processing to determine the behaviour of the alloy </w:t>
      </w:r>
      <w:r w:rsidR="00324C03">
        <w:fldChar w:fldCharType="begin" w:fldLock="1"/>
      </w:r>
      <w:r w:rsidR="00324C03">
        <w:instrText>ADDIN CSL_CITATION {"citationItems":[{"id":"ITEM-1","itemData":{"DOI":"10.4028/www.scientific.net/AMR.939.400","author":[{"dropping-particle":"","family":"Ahmad","given":"A H","non-dropping-particle":"","parse-names":false,"suffix":""},{"dropping-particle":"","family":"Naher","given":"S","non-dropping-particle":"","parse-names":false,"suffix":""},{"dropping-particle":"","family":"Brabazon","given":"D","non-dropping-particle":"","parse-names":false,"suffix":""}],"id":"ITEM-1","issued":{"date-parts":[["2014"]]},"page":"400-408","title":"Direct Thermal Method of Aluminium 7075","type":"article-journal","volume":"939"},"uris":["http://www.mendeley.com/documents/?uuid=d3ede09f-fc5c-4d6c-b9f4-c637a3a32319"]}],"mendeley":{"formattedCitation":"[17]","plainTextFormattedCitation":"[17]","previouslyFormattedCitation":"[17]"},"properties":{"noteIndex":0},"schema":"https://github.com/citation-style-language/schema/raw/master/csl-citation.json"}</w:instrText>
      </w:r>
      <w:r w:rsidR="00324C03">
        <w:fldChar w:fldCharType="separate"/>
      </w:r>
      <w:r w:rsidR="00324C03" w:rsidRPr="00324C03">
        <w:rPr>
          <w:noProof/>
        </w:rPr>
        <w:t>[17]</w:t>
      </w:r>
      <w:r w:rsidR="00324C03">
        <w:fldChar w:fldCharType="end"/>
      </w:r>
      <w:r w:rsidRPr="005015E0">
        <w:t>.</w:t>
      </w:r>
    </w:p>
    <w:p w:rsidR="005015E0" w:rsidRDefault="005015E0" w:rsidP="005015E0">
      <w:pPr>
        <w:jc w:val="both"/>
      </w:pPr>
    </w:p>
    <w:p w:rsidR="005015E0" w:rsidRDefault="005015E0" w:rsidP="005015E0">
      <w:pPr>
        <w:pStyle w:val="Heading2"/>
      </w:pPr>
      <w:r w:rsidRPr="005015E0">
        <w:t>Energy Dispersive X-ray Spectroscopy Analysis</w:t>
      </w:r>
      <w:r>
        <w:t>.</w:t>
      </w:r>
    </w:p>
    <w:p w:rsidR="005015E0" w:rsidRDefault="005015E0" w:rsidP="005015E0">
      <w:pPr>
        <w:jc w:val="both"/>
      </w:pPr>
      <w:r w:rsidRPr="005015E0">
        <w:t>The EDXS analysis was conducted on two different regions which are primary and secondary phases area after the microstructure assessment. Three main elements were identif</w:t>
      </w:r>
      <w:r>
        <w:t>i</w:t>
      </w:r>
      <w:r w:rsidRPr="005015E0">
        <w:t>ed from the samples which were aluminium (Al), magnesium (Mg) and silicon (Si). The selected area of the primary and secondary phase</w:t>
      </w:r>
      <w:r>
        <w:t>s</w:t>
      </w:r>
      <w:r w:rsidRPr="005015E0">
        <w:t xml:space="preserve"> </w:t>
      </w:r>
      <w:r>
        <w:t xml:space="preserve">used in EDXS analysis is presented in </w:t>
      </w:r>
      <w:r w:rsidRPr="005015E0">
        <w:fldChar w:fldCharType="begin"/>
      </w:r>
      <w:r w:rsidRPr="005015E0">
        <w:instrText xml:space="preserve"> REF _Ref58839421 \h  \* MERGEFORMAT </w:instrText>
      </w:r>
      <w:r w:rsidRPr="005015E0">
        <w:fldChar w:fldCharType="separate"/>
      </w:r>
      <w:r w:rsidRPr="005015E0">
        <w:t xml:space="preserve">Figure </w:t>
      </w:r>
      <w:r w:rsidRPr="005015E0">
        <w:rPr>
          <w:noProof/>
        </w:rPr>
        <w:t>4</w:t>
      </w:r>
      <w:r w:rsidRPr="005015E0">
        <w:fldChar w:fldCharType="end"/>
      </w:r>
      <w:r w:rsidRPr="005015E0">
        <w:t xml:space="preserve"> and </w:t>
      </w:r>
      <w:r w:rsidRPr="005015E0">
        <w:fldChar w:fldCharType="begin"/>
      </w:r>
      <w:r w:rsidRPr="005015E0">
        <w:instrText xml:space="preserve"> REF _Ref58839427 \h  \* MERGEFORMAT </w:instrText>
      </w:r>
      <w:r w:rsidRPr="005015E0">
        <w:fldChar w:fldCharType="separate"/>
      </w:r>
      <w:r w:rsidRPr="005015E0">
        <w:rPr>
          <w:rFonts w:ascii="Times New Roman" w:hAnsi="Times New Roman"/>
          <w:szCs w:val="22"/>
        </w:rPr>
        <w:t xml:space="preserve">Figure </w:t>
      </w:r>
      <w:r w:rsidRPr="005015E0">
        <w:rPr>
          <w:rFonts w:ascii="Times New Roman" w:hAnsi="Times New Roman"/>
          <w:noProof/>
          <w:szCs w:val="22"/>
        </w:rPr>
        <w:t>5</w:t>
      </w:r>
      <w:r w:rsidRPr="005015E0">
        <w:fldChar w:fldCharType="end"/>
      </w:r>
      <w:r w:rsidRPr="005015E0">
        <w:t xml:space="preserve">. </w:t>
      </w:r>
      <w:r w:rsidRPr="005015E0">
        <w:fldChar w:fldCharType="begin"/>
      </w:r>
      <w:r w:rsidRPr="005015E0">
        <w:instrText xml:space="preserve"> REF _Ref58839447 \h  \* MERGEFORMAT </w:instrText>
      </w:r>
      <w:r w:rsidRPr="005015E0">
        <w:fldChar w:fldCharType="separate"/>
      </w:r>
      <w:r w:rsidRPr="005015E0">
        <w:rPr>
          <w:szCs w:val="22"/>
        </w:rPr>
        <w:t xml:space="preserve">Table </w:t>
      </w:r>
      <w:r w:rsidRPr="005015E0">
        <w:rPr>
          <w:noProof/>
          <w:szCs w:val="22"/>
        </w:rPr>
        <w:t>2</w:t>
      </w:r>
      <w:r w:rsidRPr="005015E0">
        <w:fldChar w:fldCharType="end"/>
      </w:r>
      <w:r w:rsidRPr="005015E0">
        <w:t xml:space="preserve"> and </w:t>
      </w:r>
      <w:r w:rsidRPr="005015E0">
        <w:fldChar w:fldCharType="begin"/>
      </w:r>
      <w:r w:rsidRPr="005015E0">
        <w:instrText xml:space="preserve"> REF _Ref58839453 \h  \* MERGEFORMAT </w:instrText>
      </w:r>
      <w:r w:rsidRPr="005015E0">
        <w:fldChar w:fldCharType="separate"/>
      </w:r>
      <w:r w:rsidRPr="005015E0">
        <w:t xml:space="preserve">Table </w:t>
      </w:r>
      <w:r w:rsidRPr="005015E0">
        <w:rPr>
          <w:noProof/>
        </w:rPr>
        <w:t>3</w:t>
      </w:r>
      <w:r w:rsidRPr="005015E0">
        <w:fldChar w:fldCharType="end"/>
      </w:r>
      <w:r>
        <w:rPr>
          <w:color w:val="FF0000"/>
        </w:rPr>
        <w:t xml:space="preserve"> </w:t>
      </w:r>
      <w:r w:rsidRPr="005015E0">
        <w:t>represent the chemical composition of DTM feedstock billets for the primary and secondary phase area.</w:t>
      </w:r>
    </w:p>
    <w:p w:rsidR="005015E0" w:rsidRDefault="005015E0" w:rsidP="005015E0"/>
    <w:p w:rsidR="005015E0" w:rsidRPr="005015E0" w:rsidRDefault="005015E0" w:rsidP="005015E0">
      <w:pPr>
        <w:pStyle w:val="Caption"/>
        <w:jc w:val="center"/>
        <w:rPr>
          <w:i w:val="0"/>
          <w:color w:val="auto"/>
          <w:sz w:val="22"/>
        </w:rPr>
      </w:pPr>
      <w:bookmarkStart w:id="5" w:name="_Ref58839447"/>
      <w:r w:rsidRPr="005015E0">
        <w:rPr>
          <w:color w:val="auto"/>
          <w:sz w:val="22"/>
          <w:szCs w:val="22"/>
        </w:rPr>
        <w:t xml:space="preserve">Table </w:t>
      </w:r>
      <w:r w:rsidRPr="005015E0">
        <w:rPr>
          <w:color w:val="auto"/>
          <w:sz w:val="22"/>
          <w:szCs w:val="22"/>
        </w:rPr>
        <w:fldChar w:fldCharType="begin"/>
      </w:r>
      <w:r w:rsidRPr="005015E0">
        <w:rPr>
          <w:color w:val="auto"/>
          <w:sz w:val="22"/>
          <w:szCs w:val="22"/>
        </w:rPr>
        <w:instrText xml:space="preserve"> SEQ Table \* ARABIC </w:instrText>
      </w:r>
      <w:r w:rsidRPr="005015E0">
        <w:rPr>
          <w:color w:val="auto"/>
          <w:sz w:val="22"/>
          <w:szCs w:val="22"/>
        </w:rPr>
        <w:fldChar w:fldCharType="separate"/>
      </w:r>
      <w:r>
        <w:rPr>
          <w:noProof/>
          <w:color w:val="auto"/>
          <w:sz w:val="22"/>
          <w:szCs w:val="22"/>
        </w:rPr>
        <w:t>2</w:t>
      </w:r>
      <w:r w:rsidRPr="005015E0">
        <w:rPr>
          <w:color w:val="auto"/>
          <w:sz w:val="22"/>
          <w:szCs w:val="22"/>
        </w:rPr>
        <w:fldChar w:fldCharType="end"/>
      </w:r>
      <w:bookmarkEnd w:id="5"/>
      <w:r w:rsidRPr="005015E0">
        <w:rPr>
          <w:i w:val="0"/>
          <w:color w:val="auto"/>
          <w:sz w:val="22"/>
          <w:szCs w:val="22"/>
        </w:rPr>
        <w:t>:</w:t>
      </w:r>
      <w:r w:rsidRPr="005015E0">
        <w:rPr>
          <w:i w:val="0"/>
          <w:color w:val="auto"/>
          <w:sz w:val="22"/>
        </w:rPr>
        <w:t xml:space="preserve"> The primary phase chemical composition of DTM feedstock billets.</w:t>
      </w:r>
    </w:p>
    <w:tbl>
      <w:tblPr>
        <w:tblStyle w:val="TableGrid"/>
        <w:tblW w:w="0" w:type="auto"/>
        <w:tblLook w:val="04A0" w:firstRow="1" w:lastRow="0" w:firstColumn="1" w:lastColumn="0" w:noHBand="0" w:noVBand="1"/>
      </w:tblPr>
      <w:tblGrid>
        <w:gridCol w:w="1722"/>
        <w:gridCol w:w="1940"/>
        <w:gridCol w:w="1600"/>
        <w:gridCol w:w="1628"/>
        <w:gridCol w:w="1722"/>
      </w:tblGrid>
      <w:tr w:rsidR="005015E0" w:rsidTr="003B1A30">
        <w:trPr>
          <w:trHeight w:val="520"/>
        </w:trPr>
        <w:tc>
          <w:tcPr>
            <w:tcW w:w="1722" w:type="dxa"/>
            <w:vMerge w:val="restart"/>
          </w:tcPr>
          <w:p w:rsidR="005015E0" w:rsidRDefault="005015E0" w:rsidP="003B1A30">
            <w:pPr>
              <w:spacing w:before="240"/>
              <w:rPr>
                <w:lang w:val="en-MY"/>
              </w:rPr>
            </w:pPr>
            <w:r w:rsidRPr="002E55EA">
              <w:rPr>
                <w:rFonts w:ascii="Times New Roman" w:hAnsi="Times New Roman"/>
                <w:sz w:val="24"/>
                <w:szCs w:val="24"/>
              </w:rPr>
              <w:t>660°C  40 s</w:t>
            </w:r>
          </w:p>
        </w:tc>
        <w:tc>
          <w:tcPr>
            <w:tcW w:w="1940" w:type="dxa"/>
          </w:tcPr>
          <w:p w:rsidR="005015E0" w:rsidRDefault="005015E0" w:rsidP="003B1A30">
            <w:pPr>
              <w:rPr>
                <w:lang w:val="en-MY"/>
              </w:rPr>
            </w:pPr>
            <w:r>
              <w:rPr>
                <w:rFonts w:ascii="Times New Roman" w:hAnsi="Times New Roman"/>
                <w:sz w:val="24"/>
                <w:szCs w:val="24"/>
              </w:rPr>
              <w:t>Elements</w:t>
            </w:r>
          </w:p>
        </w:tc>
        <w:tc>
          <w:tcPr>
            <w:tcW w:w="1600" w:type="dxa"/>
          </w:tcPr>
          <w:p w:rsidR="005015E0" w:rsidRDefault="005015E0" w:rsidP="003B1A30">
            <w:pPr>
              <w:rPr>
                <w:lang w:val="en-MY"/>
              </w:rPr>
            </w:pPr>
            <w:r>
              <w:rPr>
                <w:rFonts w:ascii="Times New Roman" w:hAnsi="Times New Roman"/>
                <w:sz w:val="24"/>
                <w:szCs w:val="24"/>
              </w:rPr>
              <w:t>Al</w:t>
            </w:r>
          </w:p>
        </w:tc>
        <w:tc>
          <w:tcPr>
            <w:tcW w:w="1628" w:type="dxa"/>
          </w:tcPr>
          <w:p w:rsidR="005015E0" w:rsidRDefault="005015E0" w:rsidP="003B1A30">
            <w:pPr>
              <w:rPr>
                <w:lang w:val="en-MY"/>
              </w:rPr>
            </w:pPr>
            <w:r>
              <w:rPr>
                <w:rFonts w:ascii="Times New Roman" w:hAnsi="Times New Roman"/>
                <w:sz w:val="24"/>
                <w:szCs w:val="24"/>
              </w:rPr>
              <w:t>Mg</w:t>
            </w:r>
          </w:p>
        </w:tc>
        <w:tc>
          <w:tcPr>
            <w:tcW w:w="1722" w:type="dxa"/>
          </w:tcPr>
          <w:p w:rsidR="005015E0" w:rsidRDefault="005015E0" w:rsidP="003B1A30">
            <w:pPr>
              <w:rPr>
                <w:lang w:val="en-MY"/>
              </w:rPr>
            </w:pPr>
            <w:r>
              <w:rPr>
                <w:rFonts w:ascii="Times New Roman" w:hAnsi="Times New Roman"/>
                <w:sz w:val="24"/>
                <w:szCs w:val="24"/>
              </w:rPr>
              <w:t>Si</w:t>
            </w:r>
          </w:p>
        </w:tc>
      </w:tr>
      <w:tr w:rsidR="005015E0" w:rsidTr="003B1A30">
        <w:trPr>
          <w:trHeight w:val="536"/>
        </w:trPr>
        <w:tc>
          <w:tcPr>
            <w:tcW w:w="1722" w:type="dxa"/>
            <w:vMerge/>
          </w:tcPr>
          <w:p w:rsidR="005015E0" w:rsidRDefault="005015E0" w:rsidP="003B1A30">
            <w:pPr>
              <w:rPr>
                <w:lang w:val="en-MY"/>
              </w:rPr>
            </w:pPr>
          </w:p>
        </w:tc>
        <w:tc>
          <w:tcPr>
            <w:tcW w:w="1940" w:type="dxa"/>
          </w:tcPr>
          <w:p w:rsidR="005015E0" w:rsidRPr="00BD40AF" w:rsidRDefault="005015E0" w:rsidP="003B1A30">
            <w:pPr>
              <w:autoSpaceDE w:val="0"/>
              <w:autoSpaceDN w:val="0"/>
              <w:adjustRightInd w:val="0"/>
              <w:rPr>
                <w:rFonts w:ascii="Times New Roman" w:hAnsi="Times New Roman"/>
                <w:sz w:val="24"/>
                <w:szCs w:val="24"/>
              </w:rPr>
            </w:pPr>
            <w:r>
              <w:rPr>
                <w:rFonts w:ascii="Times New Roman" w:hAnsi="Times New Roman"/>
                <w:sz w:val="24"/>
                <w:szCs w:val="24"/>
              </w:rPr>
              <w:t>Spectrum (Wt %)</w:t>
            </w:r>
          </w:p>
        </w:tc>
        <w:tc>
          <w:tcPr>
            <w:tcW w:w="1600" w:type="dxa"/>
          </w:tcPr>
          <w:p w:rsidR="005015E0" w:rsidRDefault="005015E0" w:rsidP="003B1A30">
            <w:pPr>
              <w:rPr>
                <w:lang w:val="en-MY"/>
              </w:rPr>
            </w:pPr>
            <w:r>
              <w:rPr>
                <w:rFonts w:ascii="Times New Roman" w:hAnsi="Times New Roman"/>
                <w:sz w:val="24"/>
                <w:szCs w:val="24"/>
              </w:rPr>
              <w:t>89.63 - 95.97</w:t>
            </w:r>
          </w:p>
        </w:tc>
        <w:tc>
          <w:tcPr>
            <w:tcW w:w="1628" w:type="dxa"/>
          </w:tcPr>
          <w:p w:rsidR="005015E0" w:rsidRDefault="005015E0" w:rsidP="003B1A30">
            <w:pPr>
              <w:rPr>
                <w:lang w:val="en-MY"/>
              </w:rPr>
            </w:pPr>
            <w:r>
              <w:rPr>
                <w:rFonts w:ascii="Times New Roman" w:hAnsi="Times New Roman"/>
                <w:sz w:val="24"/>
                <w:szCs w:val="24"/>
              </w:rPr>
              <w:t>0.61 – 0.79</w:t>
            </w:r>
          </w:p>
        </w:tc>
        <w:tc>
          <w:tcPr>
            <w:tcW w:w="1722" w:type="dxa"/>
          </w:tcPr>
          <w:p w:rsidR="005015E0" w:rsidRDefault="005015E0" w:rsidP="003B1A30">
            <w:pPr>
              <w:rPr>
                <w:lang w:val="en-MY"/>
              </w:rPr>
            </w:pPr>
            <w:r>
              <w:rPr>
                <w:rFonts w:ascii="Times New Roman" w:hAnsi="Times New Roman"/>
                <w:sz w:val="24"/>
                <w:szCs w:val="24"/>
              </w:rPr>
              <w:t>0.67 – 1.46</w:t>
            </w:r>
          </w:p>
        </w:tc>
      </w:tr>
      <w:tr w:rsidR="005015E0" w:rsidTr="003B1A30">
        <w:trPr>
          <w:trHeight w:val="520"/>
        </w:trPr>
        <w:tc>
          <w:tcPr>
            <w:tcW w:w="1722" w:type="dxa"/>
            <w:vMerge w:val="restart"/>
          </w:tcPr>
          <w:p w:rsidR="005015E0" w:rsidRDefault="005015E0" w:rsidP="003B1A30">
            <w:pPr>
              <w:spacing w:before="240"/>
              <w:rPr>
                <w:lang w:val="en-MY"/>
              </w:rPr>
            </w:pPr>
            <w:r w:rsidRPr="002E55EA">
              <w:rPr>
                <w:rFonts w:ascii="Times New Roman" w:hAnsi="Times New Roman"/>
                <w:sz w:val="24"/>
                <w:szCs w:val="24"/>
              </w:rPr>
              <w:t xml:space="preserve">660°C  </w:t>
            </w:r>
            <w:r>
              <w:rPr>
                <w:rFonts w:ascii="Times New Roman" w:hAnsi="Times New Roman"/>
                <w:sz w:val="24"/>
                <w:szCs w:val="24"/>
              </w:rPr>
              <w:t>6</w:t>
            </w:r>
            <w:r w:rsidRPr="002E55EA">
              <w:rPr>
                <w:rFonts w:ascii="Times New Roman" w:hAnsi="Times New Roman"/>
                <w:sz w:val="24"/>
                <w:szCs w:val="24"/>
              </w:rPr>
              <w:t>0 s</w:t>
            </w:r>
          </w:p>
        </w:tc>
        <w:tc>
          <w:tcPr>
            <w:tcW w:w="1940" w:type="dxa"/>
          </w:tcPr>
          <w:p w:rsidR="005015E0" w:rsidRDefault="005015E0" w:rsidP="003B1A30">
            <w:pPr>
              <w:rPr>
                <w:lang w:val="en-MY"/>
              </w:rPr>
            </w:pPr>
            <w:r>
              <w:rPr>
                <w:rFonts w:ascii="Times New Roman" w:hAnsi="Times New Roman"/>
                <w:sz w:val="24"/>
                <w:szCs w:val="24"/>
              </w:rPr>
              <w:t>Elements</w:t>
            </w:r>
          </w:p>
        </w:tc>
        <w:tc>
          <w:tcPr>
            <w:tcW w:w="1600" w:type="dxa"/>
          </w:tcPr>
          <w:p w:rsidR="005015E0" w:rsidRDefault="005015E0" w:rsidP="003B1A30">
            <w:pPr>
              <w:rPr>
                <w:lang w:val="en-MY"/>
              </w:rPr>
            </w:pPr>
            <w:r>
              <w:rPr>
                <w:rFonts w:ascii="Times New Roman" w:hAnsi="Times New Roman"/>
                <w:sz w:val="24"/>
                <w:szCs w:val="24"/>
              </w:rPr>
              <w:t>Al</w:t>
            </w:r>
          </w:p>
        </w:tc>
        <w:tc>
          <w:tcPr>
            <w:tcW w:w="1628" w:type="dxa"/>
          </w:tcPr>
          <w:p w:rsidR="005015E0" w:rsidRDefault="005015E0" w:rsidP="003B1A30">
            <w:pPr>
              <w:rPr>
                <w:lang w:val="en-MY"/>
              </w:rPr>
            </w:pPr>
            <w:r>
              <w:rPr>
                <w:rFonts w:ascii="Times New Roman" w:hAnsi="Times New Roman"/>
                <w:sz w:val="24"/>
                <w:szCs w:val="24"/>
              </w:rPr>
              <w:t>Mg</w:t>
            </w:r>
          </w:p>
        </w:tc>
        <w:tc>
          <w:tcPr>
            <w:tcW w:w="1722" w:type="dxa"/>
          </w:tcPr>
          <w:p w:rsidR="005015E0" w:rsidRDefault="005015E0" w:rsidP="003B1A30">
            <w:pPr>
              <w:rPr>
                <w:lang w:val="en-MY"/>
              </w:rPr>
            </w:pPr>
            <w:r>
              <w:rPr>
                <w:rFonts w:ascii="Times New Roman" w:hAnsi="Times New Roman"/>
                <w:sz w:val="24"/>
                <w:szCs w:val="24"/>
              </w:rPr>
              <w:t>Si</w:t>
            </w:r>
          </w:p>
        </w:tc>
      </w:tr>
      <w:tr w:rsidR="005015E0" w:rsidTr="003B1A30">
        <w:trPr>
          <w:trHeight w:val="536"/>
        </w:trPr>
        <w:tc>
          <w:tcPr>
            <w:tcW w:w="1722" w:type="dxa"/>
            <w:vMerge/>
          </w:tcPr>
          <w:p w:rsidR="005015E0" w:rsidRDefault="005015E0" w:rsidP="003B1A30">
            <w:pPr>
              <w:rPr>
                <w:lang w:val="en-MY"/>
              </w:rPr>
            </w:pPr>
          </w:p>
        </w:tc>
        <w:tc>
          <w:tcPr>
            <w:tcW w:w="1940" w:type="dxa"/>
          </w:tcPr>
          <w:p w:rsidR="005015E0" w:rsidRPr="00BD40AF" w:rsidRDefault="005015E0" w:rsidP="003B1A30">
            <w:pPr>
              <w:autoSpaceDE w:val="0"/>
              <w:autoSpaceDN w:val="0"/>
              <w:adjustRightInd w:val="0"/>
              <w:rPr>
                <w:rFonts w:ascii="Times New Roman" w:hAnsi="Times New Roman"/>
                <w:sz w:val="24"/>
                <w:szCs w:val="24"/>
              </w:rPr>
            </w:pPr>
            <w:r>
              <w:rPr>
                <w:rFonts w:ascii="Times New Roman" w:hAnsi="Times New Roman"/>
                <w:sz w:val="24"/>
                <w:szCs w:val="24"/>
              </w:rPr>
              <w:t>Spectrum (Wt %)</w:t>
            </w:r>
          </w:p>
        </w:tc>
        <w:tc>
          <w:tcPr>
            <w:tcW w:w="1600" w:type="dxa"/>
          </w:tcPr>
          <w:p w:rsidR="005015E0" w:rsidRDefault="005015E0" w:rsidP="003B1A30">
            <w:pPr>
              <w:rPr>
                <w:lang w:val="en-MY"/>
              </w:rPr>
            </w:pPr>
            <w:r>
              <w:rPr>
                <w:rFonts w:ascii="Times New Roman" w:hAnsi="Times New Roman"/>
                <w:sz w:val="24"/>
                <w:szCs w:val="24"/>
              </w:rPr>
              <w:t>97.72 – 99.16</w:t>
            </w:r>
          </w:p>
        </w:tc>
        <w:tc>
          <w:tcPr>
            <w:tcW w:w="1628" w:type="dxa"/>
          </w:tcPr>
          <w:p w:rsidR="005015E0" w:rsidRDefault="005015E0" w:rsidP="003B1A30">
            <w:pPr>
              <w:rPr>
                <w:lang w:val="en-MY"/>
              </w:rPr>
            </w:pPr>
            <w:r>
              <w:rPr>
                <w:rFonts w:ascii="Times New Roman" w:hAnsi="Times New Roman"/>
                <w:sz w:val="24"/>
                <w:szCs w:val="24"/>
              </w:rPr>
              <w:t>0.36-2.01</w:t>
            </w:r>
          </w:p>
        </w:tc>
        <w:tc>
          <w:tcPr>
            <w:tcW w:w="1722" w:type="dxa"/>
          </w:tcPr>
          <w:p w:rsidR="005015E0" w:rsidRDefault="005015E0" w:rsidP="003B1A30">
            <w:pPr>
              <w:rPr>
                <w:lang w:val="en-MY"/>
              </w:rPr>
            </w:pPr>
            <w:r>
              <w:rPr>
                <w:rFonts w:ascii="Times New Roman" w:hAnsi="Times New Roman"/>
                <w:sz w:val="24"/>
                <w:szCs w:val="24"/>
              </w:rPr>
              <w:t>0.41 – 1.70</w:t>
            </w:r>
          </w:p>
        </w:tc>
      </w:tr>
    </w:tbl>
    <w:p w:rsidR="005015E0" w:rsidRDefault="005015E0" w:rsidP="005015E0"/>
    <w:p w:rsidR="005015E0" w:rsidRDefault="005015E0" w:rsidP="005015E0">
      <w:pPr>
        <w:jc w:val="right"/>
      </w:pPr>
      <w:r>
        <w:rPr>
          <w:noProof/>
          <w:lang w:val="en-US"/>
        </w:rPr>
        <w:lastRenderedPageBreak/>
        <mc:AlternateContent>
          <mc:Choice Requires="wps">
            <w:drawing>
              <wp:anchor distT="0" distB="0" distL="114300" distR="114300" simplePos="0" relativeHeight="251663872" behindDoc="0" locked="0" layoutInCell="1" allowOverlap="1" wp14:anchorId="4C26C6D6" wp14:editId="06A6DF94">
                <wp:simplePos x="0" y="0"/>
                <wp:positionH relativeFrom="column">
                  <wp:posOffset>556895</wp:posOffset>
                </wp:positionH>
                <wp:positionV relativeFrom="paragraph">
                  <wp:posOffset>-1905</wp:posOffset>
                </wp:positionV>
                <wp:extent cx="457200" cy="359410"/>
                <wp:effectExtent l="0" t="0" r="0" b="0"/>
                <wp:wrapNone/>
                <wp:docPr id="17" name="Rectangle 17"/>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5E0" w:rsidRPr="00B73389" w:rsidRDefault="005015E0" w:rsidP="005015E0">
                            <w:pPr>
                              <w:jc w:val="cente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C6D6" id="Rectangle 17" o:spid="_x0000_s1032" style="position:absolute;left:0;text-align:left;margin-left:43.85pt;margin-top:-.15pt;width:36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" filled="f" stroked="f" strokeweight="2pt">
                <v:textbox>
                  <w:txbxContent>
                    <w:p w:rsidR="005015E0" w:rsidRPr="00B73389" w:rsidRDefault="005015E0" w:rsidP="005015E0">
                      <w:pPr>
                        <w:jc w:val="center"/>
                        <w:rPr>
                          <w:color w:val="000000" w:themeColor="text1"/>
                        </w:rPr>
                      </w:pPr>
                      <w:r>
                        <w:rPr>
                          <w:color w:val="000000" w:themeColor="text1"/>
                        </w:rPr>
                        <w:t>(a)</w:t>
                      </w:r>
                    </w:p>
                  </w:txbxContent>
                </v:textbox>
              </v:rect>
            </w:pict>
          </mc:Fallback>
        </mc:AlternateContent>
      </w:r>
      <w:r>
        <w:rPr>
          <w:rFonts w:ascii="Times New Roman" w:hAnsi="Times New Roman"/>
          <w:b/>
          <w:noProof/>
          <w:sz w:val="24"/>
          <w:szCs w:val="24"/>
          <w:lang w:val="en-US"/>
        </w:rPr>
        <w:drawing>
          <wp:inline distT="0" distB="0" distL="0" distR="0" wp14:anchorId="440EE1F1" wp14:editId="09FEAB67">
            <wp:extent cx="2563535" cy="19202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leted.tif"/>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63535" cy="1920240"/>
                    </a:xfrm>
                    <a:prstGeom prst="rect">
                      <a:avLst/>
                    </a:prstGeom>
                  </pic:spPr>
                </pic:pic>
              </a:graphicData>
            </a:graphic>
          </wp:inline>
        </w:drawing>
      </w:r>
      <w:r>
        <w:t xml:space="preserve">  </w:t>
      </w:r>
      <w:r>
        <w:rPr>
          <w:noProof/>
          <w:lang w:val="en-US"/>
        </w:rPr>
        <mc:AlternateContent>
          <mc:Choice Requires="wps">
            <w:drawing>
              <wp:anchor distT="0" distB="0" distL="114300" distR="114300" simplePos="0" relativeHeight="251665920" behindDoc="0" locked="0" layoutInCell="1" allowOverlap="1" wp14:anchorId="4C26C6D6" wp14:editId="06A6DF94">
                <wp:simplePos x="0" y="0"/>
                <wp:positionH relativeFrom="column">
                  <wp:posOffset>3195320</wp:posOffset>
                </wp:positionH>
                <wp:positionV relativeFrom="paragraph">
                  <wp:posOffset>-1905</wp:posOffset>
                </wp:positionV>
                <wp:extent cx="457200" cy="359410"/>
                <wp:effectExtent l="0" t="0" r="0" b="0"/>
                <wp:wrapNone/>
                <wp:docPr id="16" name="Rectangle 16"/>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5E0" w:rsidRPr="00B73389" w:rsidRDefault="005015E0" w:rsidP="005015E0">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C6D6" id="Rectangle 16" o:spid="_x0000_s1033" style="position:absolute;left:0;text-align:left;margin-left:251.6pt;margin-top:-.15pt;width:36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" filled="f" stroked="f" strokeweight="2pt">
                <v:textbox>
                  <w:txbxContent>
                    <w:p w:rsidR="005015E0" w:rsidRPr="00B73389" w:rsidRDefault="005015E0" w:rsidP="005015E0">
                      <w:pPr>
                        <w:jc w:val="center"/>
                        <w:rPr>
                          <w:color w:val="000000" w:themeColor="text1"/>
                        </w:rPr>
                      </w:pPr>
                      <w:r>
                        <w:rPr>
                          <w:color w:val="000000" w:themeColor="text1"/>
                        </w:rPr>
                        <w:t>(b)</w:t>
                      </w:r>
                    </w:p>
                  </w:txbxContent>
                </v:textbox>
              </v:rect>
            </w:pict>
          </mc:Fallback>
        </mc:AlternateContent>
      </w:r>
      <w:r>
        <w:rPr>
          <w:rFonts w:ascii="Times New Roman" w:hAnsi="Times New Roman"/>
          <w:b/>
          <w:noProof/>
          <w:sz w:val="24"/>
          <w:szCs w:val="24"/>
          <w:lang w:val="en-US"/>
        </w:rPr>
        <w:drawing>
          <wp:inline distT="0" distB="0" distL="0" distR="0" wp14:anchorId="57BB4938" wp14:editId="46F4DC0F">
            <wp:extent cx="2561927"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5.tif"/>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61927" cy="1920240"/>
                    </a:xfrm>
                    <a:prstGeom prst="rect">
                      <a:avLst/>
                    </a:prstGeom>
                  </pic:spPr>
                </pic:pic>
              </a:graphicData>
            </a:graphic>
          </wp:inline>
        </w:drawing>
      </w:r>
    </w:p>
    <w:p w:rsidR="005015E0" w:rsidRDefault="005015E0" w:rsidP="005015E0">
      <w:pPr>
        <w:jc w:val="right"/>
      </w:pPr>
    </w:p>
    <w:p w:rsidR="005015E0" w:rsidRDefault="005015E0" w:rsidP="005015E0">
      <w:pPr>
        <w:pStyle w:val="Caption"/>
        <w:jc w:val="both"/>
        <w:rPr>
          <w:i w:val="0"/>
          <w:color w:val="auto"/>
          <w:sz w:val="22"/>
        </w:rPr>
      </w:pPr>
      <w:bookmarkStart w:id="6" w:name="_Ref58839421"/>
      <w:r w:rsidRPr="005015E0">
        <w:rPr>
          <w:i w:val="0"/>
          <w:color w:val="auto"/>
          <w:sz w:val="22"/>
        </w:rPr>
        <w:t xml:space="preserve">Figure </w:t>
      </w:r>
      <w:r w:rsidRPr="005015E0">
        <w:rPr>
          <w:i w:val="0"/>
          <w:color w:val="auto"/>
          <w:sz w:val="22"/>
        </w:rPr>
        <w:fldChar w:fldCharType="begin"/>
      </w:r>
      <w:r w:rsidRPr="005015E0">
        <w:rPr>
          <w:i w:val="0"/>
          <w:color w:val="auto"/>
          <w:sz w:val="22"/>
        </w:rPr>
        <w:instrText xml:space="preserve"> SEQ Figure \* ARABIC </w:instrText>
      </w:r>
      <w:r w:rsidRPr="005015E0">
        <w:rPr>
          <w:i w:val="0"/>
          <w:color w:val="auto"/>
          <w:sz w:val="22"/>
        </w:rPr>
        <w:fldChar w:fldCharType="separate"/>
      </w:r>
      <w:r>
        <w:rPr>
          <w:i w:val="0"/>
          <w:noProof/>
          <w:color w:val="auto"/>
          <w:sz w:val="22"/>
        </w:rPr>
        <w:t>4</w:t>
      </w:r>
      <w:r w:rsidRPr="005015E0">
        <w:rPr>
          <w:i w:val="0"/>
          <w:color w:val="auto"/>
          <w:sz w:val="22"/>
        </w:rPr>
        <w:fldChar w:fldCharType="end"/>
      </w:r>
      <w:bookmarkEnd w:id="6"/>
      <w:r w:rsidRPr="005015E0">
        <w:rPr>
          <w:i w:val="0"/>
          <w:color w:val="auto"/>
          <w:sz w:val="22"/>
        </w:rPr>
        <w:t>: Selected primary Phases area for (a) combination pouring temperature of 660 °C and holding time of 40 s; and (b) combination pouring temperature of 660 °C and holding time of 60.</w:t>
      </w:r>
    </w:p>
    <w:p w:rsidR="005015E0" w:rsidRDefault="005015E0" w:rsidP="005015E0">
      <w:pPr>
        <w:pStyle w:val="Caption"/>
        <w:jc w:val="center"/>
        <w:rPr>
          <w:rFonts w:ascii="Times New Roman" w:hAnsi="Times New Roman"/>
          <w:i w:val="0"/>
          <w:color w:val="auto"/>
          <w:sz w:val="24"/>
          <w:szCs w:val="24"/>
        </w:rPr>
      </w:pPr>
      <w:bookmarkStart w:id="7" w:name="_Ref58839453"/>
      <w:r w:rsidRPr="005015E0">
        <w:rPr>
          <w:i w:val="0"/>
          <w:color w:val="auto"/>
          <w:sz w:val="22"/>
        </w:rPr>
        <w:t xml:space="preserve">Table </w:t>
      </w:r>
      <w:r w:rsidRPr="005015E0">
        <w:rPr>
          <w:i w:val="0"/>
          <w:color w:val="auto"/>
          <w:sz w:val="22"/>
        </w:rPr>
        <w:fldChar w:fldCharType="begin"/>
      </w:r>
      <w:r w:rsidRPr="005015E0">
        <w:rPr>
          <w:i w:val="0"/>
          <w:color w:val="auto"/>
          <w:sz w:val="22"/>
        </w:rPr>
        <w:instrText xml:space="preserve"> SEQ Table \* ARABIC </w:instrText>
      </w:r>
      <w:r w:rsidRPr="005015E0">
        <w:rPr>
          <w:i w:val="0"/>
          <w:color w:val="auto"/>
          <w:sz w:val="22"/>
        </w:rPr>
        <w:fldChar w:fldCharType="separate"/>
      </w:r>
      <w:r w:rsidRPr="005015E0">
        <w:rPr>
          <w:i w:val="0"/>
          <w:noProof/>
          <w:color w:val="auto"/>
          <w:sz w:val="22"/>
        </w:rPr>
        <w:t>3</w:t>
      </w:r>
      <w:r w:rsidRPr="005015E0">
        <w:rPr>
          <w:i w:val="0"/>
          <w:color w:val="auto"/>
          <w:sz w:val="22"/>
        </w:rPr>
        <w:fldChar w:fldCharType="end"/>
      </w:r>
      <w:bookmarkEnd w:id="7"/>
      <w:r>
        <w:t xml:space="preserve">: </w:t>
      </w:r>
      <w:r w:rsidRPr="005015E0">
        <w:rPr>
          <w:rFonts w:ascii="Times New Roman" w:hAnsi="Times New Roman"/>
          <w:i w:val="0"/>
          <w:color w:val="auto"/>
          <w:sz w:val="22"/>
          <w:szCs w:val="22"/>
        </w:rPr>
        <w:t xml:space="preserve">The secondary phase </w:t>
      </w:r>
      <w:r w:rsidRPr="005015E0">
        <w:rPr>
          <w:rFonts w:ascii="Times New Roman" w:hAnsi="Times New Roman"/>
          <w:b/>
          <w:i w:val="0"/>
          <w:color w:val="auto"/>
          <w:sz w:val="22"/>
          <w:szCs w:val="22"/>
        </w:rPr>
        <w:t>c</w:t>
      </w:r>
      <w:r w:rsidRPr="005015E0">
        <w:rPr>
          <w:rFonts w:ascii="Times New Roman" w:hAnsi="Times New Roman"/>
          <w:i w:val="0"/>
          <w:color w:val="auto"/>
          <w:sz w:val="22"/>
          <w:szCs w:val="22"/>
        </w:rPr>
        <w:t>hemical composition of DTM feedstock billets.</w:t>
      </w:r>
    </w:p>
    <w:tbl>
      <w:tblPr>
        <w:tblStyle w:val="TableGrid"/>
        <w:tblW w:w="0" w:type="auto"/>
        <w:jc w:val="center"/>
        <w:tblLook w:val="04A0" w:firstRow="1" w:lastRow="0" w:firstColumn="1" w:lastColumn="0" w:noHBand="0" w:noVBand="1"/>
      </w:tblPr>
      <w:tblGrid>
        <w:gridCol w:w="1458"/>
        <w:gridCol w:w="2115"/>
        <w:gridCol w:w="1561"/>
        <w:gridCol w:w="1588"/>
        <w:gridCol w:w="1680"/>
      </w:tblGrid>
      <w:tr w:rsidR="005015E0" w:rsidTr="005015E0">
        <w:trPr>
          <w:trHeight w:val="499"/>
          <w:jc w:val="center"/>
        </w:trPr>
        <w:tc>
          <w:tcPr>
            <w:tcW w:w="1458" w:type="dxa"/>
            <w:vMerge w:val="restart"/>
            <w:tcBorders>
              <w:top w:val="single" w:sz="4" w:space="0" w:color="auto"/>
              <w:left w:val="single" w:sz="4" w:space="0" w:color="auto"/>
              <w:bottom w:val="single" w:sz="4" w:space="0" w:color="auto"/>
              <w:right w:val="single" w:sz="4" w:space="0" w:color="auto"/>
            </w:tcBorders>
          </w:tcPr>
          <w:p w:rsidR="005015E0" w:rsidRDefault="005015E0" w:rsidP="003B1A30">
            <w:pPr>
              <w:spacing w:before="240"/>
              <w:rPr>
                <w:lang w:val="en-MY"/>
              </w:rPr>
            </w:pPr>
            <w:r w:rsidRPr="002E55EA">
              <w:rPr>
                <w:rFonts w:ascii="Times New Roman" w:hAnsi="Times New Roman"/>
                <w:sz w:val="24"/>
                <w:szCs w:val="24"/>
              </w:rPr>
              <w:t>660°C  40 s</w:t>
            </w:r>
          </w:p>
        </w:tc>
        <w:tc>
          <w:tcPr>
            <w:tcW w:w="2115" w:type="dxa"/>
            <w:tcBorders>
              <w:left w:val="single" w:sz="4" w:space="0" w:color="auto"/>
            </w:tcBorders>
          </w:tcPr>
          <w:p w:rsidR="005015E0" w:rsidRDefault="005015E0" w:rsidP="003B1A30">
            <w:pPr>
              <w:rPr>
                <w:lang w:val="en-MY"/>
              </w:rPr>
            </w:pPr>
            <w:r>
              <w:rPr>
                <w:rFonts w:ascii="Times New Roman" w:hAnsi="Times New Roman"/>
                <w:sz w:val="24"/>
                <w:szCs w:val="24"/>
              </w:rPr>
              <w:t>Elements</w:t>
            </w:r>
          </w:p>
        </w:tc>
        <w:tc>
          <w:tcPr>
            <w:tcW w:w="1561" w:type="dxa"/>
          </w:tcPr>
          <w:p w:rsidR="005015E0" w:rsidRDefault="005015E0" w:rsidP="003B1A30">
            <w:pPr>
              <w:rPr>
                <w:lang w:val="en-MY"/>
              </w:rPr>
            </w:pPr>
            <w:r>
              <w:rPr>
                <w:rFonts w:ascii="Times New Roman" w:hAnsi="Times New Roman"/>
                <w:sz w:val="24"/>
                <w:szCs w:val="24"/>
              </w:rPr>
              <w:t>Al</w:t>
            </w:r>
          </w:p>
        </w:tc>
        <w:tc>
          <w:tcPr>
            <w:tcW w:w="1588" w:type="dxa"/>
          </w:tcPr>
          <w:p w:rsidR="005015E0" w:rsidRDefault="005015E0" w:rsidP="003B1A30">
            <w:pPr>
              <w:rPr>
                <w:lang w:val="en-MY"/>
              </w:rPr>
            </w:pPr>
            <w:r>
              <w:rPr>
                <w:rFonts w:ascii="Times New Roman" w:hAnsi="Times New Roman"/>
                <w:sz w:val="24"/>
                <w:szCs w:val="24"/>
              </w:rPr>
              <w:t>Mg</w:t>
            </w:r>
          </w:p>
        </w:tc>
        <w:tc>
          <w:tcPr>
            <w:tcW w:w="1680" w:type="dxa"/>
          </w:tcPr>
          <w:p w:rsidR="005015E0" w:rsidRDefault="005015E0" w:rsidP="003B1A30">
            <w:pPr>
              <w:rPr>
                <w:lang w:val="en-MY"/>
              </w:rPr>
            </w:pPr>
            <w:r>
              <w:rPr>
                <w:rFonts w:ascii="Times New Roman" w:hAnsi="Times New Roman"/>
                <w:sz w:val="24"/>
                <w:szCs w:val="24"/>
              </w:rPr>
              <w:t>Si</w:t>
            </w:r>
          </w:p>
        </w:tc>
      </w:tr>
      <w:tr w:rsidR="005015E0" w:rsidTr="005015E0">
        <w:trPr>
          <w:trHeight w:val="513"/>
          <w:jc w:val="center"/>
        </w:trPr>
        <w:tc>
          <w:tcPr>
            <w:tcW w:w="1458" w:type="dxa"/>
            <w:vMerge/>
            <w:tcBorders>
              <w:top w:val="single" w:sz="4" w:space="0" w:color="auto"/>
              <w:left w:val="single" w:sz="4" w:space="0" w:color="auto"/>
              <w:bottom w:val="single" w:sz="4" w:space="0" w:color="auto"/>
              <w:right w:val="single" w:sz="4" w:space="0" w:color="auto"/>
            </w:tcBorders>
          </w:tcPr>
          <w:p w:rsidR="005015E0" w:rsidRDefault="005015E0" w:rsidP="003B1A30">
            <w:pPr>
              <w:rPr>
                <w:lang w:val="en-MY"/>
              </w:rPr>
            </w:pPr>
          </w:p>
        </w:tc>
        <w:tc>
          <w:tcPr>
            <w:tcW w:w="2115" w:type="dxa"/>
            <w:tcBorders>
              <w:left w:val="single" w:sz="4" w:space="0" w:color="auto"/>
            </w:tcBorders>
          </w:tcPr>
          <w:p w:rsidR="005015E0" w:rsidRPr="00BD40AF" w:rsidRDefault="005015E0" w:rsidP="003B1A30">
            <w:pPr>
              <w:autoSpaceDE w:val="0"/>
              <w:autoSpaceDN w:val="0"/>
              <w:adjustRightInd w:val="0"/>
              <w:rPr>
                <w:rFonts w:ascii="Times New Roman" w:hAnsi="Times New Roman"/>
                <w:sz w:val="24"/>
                <w:szCs w:val="24"/>
              </w:rPr>
            </w:pPr>
            <w:r>
              <w:rPr>
                <w:rFonts w:ascii="Times New Roman" w:hAnsi="Times New Roman"/>
                <w:sz w:val="24"/>
                <w:szCs w:val="24"/>
              </w:rPr>
              <w:t>Spectrum (Wt %)</w:t>
            </w:r>
          </w:p>
        </w:tc>
        <w:tc>
          <w:tcPr>
            <w:tcW w:w="1561" w:type="dxa"/>
          </w:tcPr>
          <w:p w:rsidR="005015E0" w:rsidRDefault="005015E0" w:rsidP="003B1A30">
            <w:pPr>
              <w:rPr>
                <w:lang w:val="en-MY"/>
              </w:rPr>
            </w:pPr>
            <w:r>
              <w:rPr>
                <w:lang w:val="en-MY"/>
              </w:rPr>
              <w:t>54.37 – 82.89</w:t>
            </w:r>
          </w:p>
        </w:tc>
        <w:tc>
          <w:tcPr>
            <w:tcW w:w="1588" w:type="dxa"/>
          </w:tcPr>
          <w:p w:rsidR="005015E0" w:rsidRDefault="005015E0" w:rsidP="003B1A30">
            <w:pPr>
              <w:rPr>
                <w:lang w:val="en-MY"/>
              </w:rPr>
            </w:pPr>
            <w:r>
              <w:rPr>
                <w:lang w:val="en-MY"/>
              </w:rPr>
              <w:t xml:space="preserve">0.85 – 2.94 </w:t>
            </w:r>
          </w:p>
        </w:tc>
        <w:tc>
          <w:tcPr>
            <w:tcW w:w="1680" w:type="dxa"/>
          </w:tcPr>
          <w:p w:rsidR="005015E0" w:rsidRDefault="005015E0" w:rsidP="003B1A30">
            <w:pPr>
              <w:rPr>
                <w:lang w:val="en-MY"/>
              </w:rPr>
            </w:pPr>
            <w:r>
              <w:rPr>
                <w:lang w:val="en-MY"/>
              </w:rPr>
              <w:t>3.32 – 22.15</w:t>
            </w:r>
          </w:p>
        </w:tc>
      </w:tr>
      <w:tr w:rsidR="005015E0" w:rsidTr="005015E0">
        <w:trPr>
          <w:trHeight w:val="499"/>
          <w:jc w:val="center"/>
        </w:trPr>
        <w:tc>
          <w:tcPr>
            <w:tcW w:w="1458" w:type="dxa"/>
            <w:vMerge w:val="restart"/>
            <w:tcBorders>
              <w:top w:val="single" w:sz="4" w:space="0" w:color="auto"/>
            </w:tcBorders>
          </w:tcPr>
          <w:p w:rsidR="005015E0" w:rsidRDefault="005015E0" w:rsidP="003B1A30">
            <w:pPr>
              <w:spacing w:before="240"/>
              <w:rPr>
                <w:lang w:val="en-MY"/>
              </w:rPr>
            </w:pPr>
            <w:r w:rsidRPr="002E55EA">
              <w:rPr>
                <w:rFonts w:ascii="Times New Roman" w:hAnsi="Times New Roman"/>
                <w:sz w:val="24"/>
                <w:szCs w:val="24"/>
              </w:rPr>
              <w:t xml:space="preserve">660°C  </w:t>
            </w:r>
            <w:r>
              <w:rPr>
                <w:rFonts w:ascii="Times New Roman" w:hAnsi="Times New Roman"/>
                <w:sz w:val="24"/>
                <w:szCs w:val="24"/>
              </w:rPr>
              <w:t>6</w:t>
            </w:r>
            <w:r w:rsidRPr="002E55EA">
              <w:rPr>
                <w:rFonts w:ascii="Times New Roman" w:hAnsi="Times New Roman"/>
                <w:sz w:val="24"/>
                <w:szCs w:val="24"/>
              </w:rPr>
              <w:t>0 s</w:t>
            </w:r>
          </w:p>
        </w:tc>
        <w:tc>
          <w:tcPr>
            <w:tcW w:w="2115" w:type="dxa"/>
          </w:tcPr>
          <w:p w:rsidR="005015E0" w:rsidRDefault="005015E0" w:rsidP="003B1A30">
            <w:pPr>
              <w:rPr>
                <w:lang w:val="en-MY"/>
              </w:rPr>
            </w:pPr>
            <w:r>
              <w:rPr>
                <w:rFonts w:ascii="Times New Roman" w:hAnsi="Times New Roman"/>
                <w:sz w:val="24"/>
                <w:szCs w:val="24"/>
              </w:rPr>
              <w:t>Elements</w:t>
            </w:r>
          </w:p>
        </w:tc>
        <w:tc>
          <w:tcPr>
            <w:tcW w:w="1561" w:type="dxa"/>
          </w:tcPr>
          <w:p w:rsidR="005015E0" w:rsidRDefault="005015E0" w:rsidP="003B1A30">
            <w:pPr>
              <w:rPr>
                <w:lang w:val="en-MY"/>
              </w:rPr>
            </w:pPr>
            <w:r>
              <w:rPr>
                <w:rFonts w:ascii="Times New Roman" w:hAnsi="Times New Roman"/>
                <w:sz w:val="24"/>
                <w:szCs w:val="24"/>
              </w:rPr>
              <w:t>Al</w:t>
            </w:r>
          </w:p>
        </w:tc>
        <w:tc>
          <w:tcPr>
            <w:tcW w:w="1588" w:type="dxa"/>
          </w:tcPr>
          <w:p w:rsidR="005015E0" w:rsidRDefault="005015E0" w:rsidP="003B1A30">
            <w:pPr>
              <w:rPr>
                <w:lang w:val="en-MY"/>
              </w:rPr>
            </w:pPr>
            <w:r>
              <w:rPr>
                <w:rFonts w:ascii="Times New Roman" w:hAnsi="Times New Roman"/>
                <w:sz w:val="24"/>
                <w:szCs w:val="24"/>
              </w:rPr>
              <w:t>Mg</w:t>
            </w:r>
          </w:p>
        </w:tc>
        <w:tc>
          <w:tcPr>
            <w:tcW w:w="1680" w:type="dxa"/>
          </w:tcPr>
          <w:p w:rsidR="005015E0" w:rsidRDefault="005015E0" w:rsidP="003B1A30">
            <w:pPr>
              <w:rPr>
                <w:lang w:val="en-MY"/>
              </w:rPr>
            </w:pPr>
            <w:r>
              <w:rPr>
                <w:rFonts w:ascii="Times New Roman" w:hAnsi="Times New Roman"/>
                <w:sz w:val="24"/>
                <w:szCs w:val="24"/>
              </w:rPr>
              <w:t>Si</w:t>
            </w:r>
          </w:p>
        </w:tc>
      </w:tr>
      <w:tr w:rsidR="005015E0" w:rsidTr="005015E0">
        <w:trPr>
          <w:trHeight w:val="513"/>
          <w:jc w:val="center"/>
        </w:trPr>
        <w:tc>
          <w:tcPr>
            <w:tcW w:w="1458" w:type="dxa"/>
            <w:vMerge/>
          </w:tcPr>
          <w:p w:rsidR="005015E0" w:rsidRDefault="005015E0" w:rsidP="003B1A30">
            <w:pPr>
              <w:rPr>
                <w:lang w:val="en-MY"/>
              </w:rPr>
            </w:pPr>
          </w:p>
        </w:tc>
        <w:tc>
          <w:tcPr>
            <w:tcW w:w="2115" w:type="dxa"/>
          </w:tcPr>
          <w:p w:rsidR="005015E0" w:rsidRPr="00BD40AF" w:rsidRDefault="005015E0" w:rsidP="003B1A30">
            <w:pPr>
              <w:autoSpaceDE w:val="0"/>
              <w:autoSpaceDN w:val="0"/>
              <w:adjustRightInd w:val="0"/>
              <w:rPr>
                <w:rFonts w:ascii="Times New Roman" w:hAnsi="Times New Roman"/>
                <w:sz w:val="24"/>
                <w:szCs w:val="24"/>
              </w:rPr>
            </w:pPr>
            <w:r>
              <w:rPr>
                <w:rFonts w:ascii="Times New Roman" w:hAnsi="Times New Roman"/>
                <w:sz w:val="24"/>
                <w:szCs w:val="24"/>
              </w:rPr>
              <w:t>Spectrum (Wt %)</w:t>
            </w:r>
          </w:p>
        </w:tc>
        <w:tc>
          <w:tcPr>
            <w:tcW w:w="1561" w:type="dxa"/>
          </w:tcPr>
          <w:p w:rsidR="005015E0" w:rsidRDefault="005015E0" w:rsidP="003B1A30">
            <w:pPr>
              <w:rPr>
                <w:lang w:val="en-MY"/>
              </w:rPr>
            </w:pPr>
            <w:r>
              <w:rPr>
                <w:lang w:val="en-MY"/>
              </w:rPr>
              <w:t>61.75 – 98.01</w:t>
            </w:r>
          </w:p>
        </w:tc>
        <w:tc>
          <w:tcPr>
            <w:tcW w:w="1588" w:type="dxa"/>
          </w:tcPr>
          <w:p w:rsidR="005015E0" w:rsidRDefault="005015E0" w:rsidP="003B1A30">
            <w:pPr>
              <w:rPr>
                <w:lang w:val="en-MY"/>
              </w:rPr>
            </w:pPr>
            <w:r>
              <w:rPr>
                <w:lang w:val="en-MY"/>
              </w:rPr>
              <w:t xml:space="preserve">0.5 – 0.71 </w:t>
            </w:r>
          </w:p>
        </w:tc>
        <w:tc>
          <w:tcPr>
            <w:tcW w:w="1680" w:type="dxa"/>
          </w:tcPr>
          <w:p w:rsidR="005015E0" w:rsidRDefault="005015E0" w:rsidP="003B1A30">
            <w:pPr>
              <w:rPr>
                <w:lang w:val="en-MY"/>
              </w:rPr>
            </w:pPr>
            <w:r>
              <w:rPr>
                <w:lang w:val="en-MY"/>
              </w:rPr>
              <w:t>1.44 – 37.54</w:t>
            </w:r>
          </w:p>
        </w:tc>
      </w:tr>
    </w:tbl>
    <w:p w:rsidR="005015E0" w:rsidRDefault="005015E0" w:rsidP="005015E0"/>
    <w:p w:rsidR="005015E0" w:rsidRDefault="005015E0" w:rsidP="005015E0">
      <w:pPr>
        <w:jc w:val="center"/>
        <w:rPr>
          <w:rFonts w:ascii="Times New Roman" w:hAnsi="Times New Roman"/>
          <w:b/>
          <w:noProof/>
          <w:sz w:val="24"/>
          <w:szCs w:val="24"/>
          <w:lang w:val="en-US"/>
        </w:rPr>
      </w:pPr>
      <w:r>
        <w:rPr>
          <w:noProof/>
          <w:lang w:val="en-US"/>
        </w:rPr>
        <mc:AlternateContent>
          <mc:Choice Requires="wps">
            <w:drawing>
              <wp:anchor distT="0" distB="0" distL="114300" distR="114300" simplePos="0" relativeHeight="251667968" behindDoc="0" locked="0" layoutInCell="1" allowOverlap="1" wp14:anchorId="30272DBB" wp14:editId="6A123912">
                <wp:simplePos x="0" y="0"/>
                <wp:positionH relativeFrom="column">
                  <wp:posOffset>280670</wp:posOffset>
                </wp:positionH>
                <wp:positionV relativeFrom="paragraph">
                  <wp:posOffset>0</wp:posOffset>
                </wp:positionV>
                <wp:extent cx="457200" cy="359410"/>
                <wp:effectExtent l="0" t="0" r="0" b="0"/>
                <wp:wrapNone/>
                <wp:docPr id="26" name="Rectangle 26"/>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5E0" w:rsidRPr="00B73389" w:rsidRDefault="005015E0" w:rsidP="005015E0">
                            <w:pPr>
                              <w:jc w:val="cente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2DBB" id="Rectangle 26" o:spid="_x0000_s1034" style="position:absolute;left:0;text-align:left;margin-left:22.1pt;margin-top:0;width:36pt;height:2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" filled="f" stroked="f" strokeweight="2pt">
                <v:textbox>
                  <w:txbxContent>
                    <w:p w:rsidR="005015E0" w:rsidRPr="00B73389" w:rsidRDefault="005015E0" w:rsidP="005015E0">
                      <w:pPr>
                        <w:jc w:val="center"/>
                        <w:rPr>
                          <w:color w:val="000000" w:themeColor="text1"/>
                        </w:rPr>
                      </w:pPr>
                      <w:r>
                        <w:rPr>
                          <w:color w:val="000000" w:themeColor="text1"/>
                        </w:rPr>
                        <w:t>(a)</w:t>
                      </w:r>
                    </w:p>
                  </w:txbxContent>
                </v:textbox>
              </v:rect>
            </w:pict>
          </mc:Fallback>
        </mc:AlternateContent>
      </w:r>
      <w:r>
        <w:rPr>
          <w:rFonts w:ascii="Times New Roman" w:hAnsi="Times New Roman"/>
          <w:b/>
          <w:noProof/>
          <w:sz w:val="24"/>
          <w:szCs w:val="24"/>
          <w:lang w:val="en-US"/>
        </w:rPr>
        <w:drawing>
          <wp:inline distT="0" distB="0" distL="0" distR="0" wp14:anchorId="3B70320A" wp14:editId="5A3C8A97">
            <wp:extent cx="2550324" cy="19202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leted.tif"/>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0324" cy="1920240"/>
                    </a:xfrm>
                    <a:prstGeom prst="rect">
                      <a:avLst/>
                    </a:prstGeom>
                  </pic:spPr>
                </pic:pic>
              </a:graphicData>
            </a:graphic>
          </wp:inline>
        </w:drawing>
      </w:r>
      <w:r>
        <w:rPr>
          <w:rFonts w:ascii="Times New Roman" w:hAnsi="Times New Roman"/>
          <w:b/>
          <w:noProof/>
          <w:sz w:val="24"/>
          <w:szCs w:val="24"/>
          <w:lang w:val="en-US"/>
        </w:rPr>
        <w:t xml:space="preserve">  </w:t>
      </w:r>
      <w:r>
        <w:rPr>
          <w:noProof/>
          <w:lang w:val="en-US"/>
        </w:rPr>
        <mc:AlternateContent>
          <mc:Choice Requires="wps">
            <w:drawing>
              <wp:anchor distT="0" distB="0" distL="114300" distR="114300" simplePos="0" relativeHeight="251670016" behindDoc="0" locked="0" layoutInCell="1" allowOverlap="1" wp14:anchorId="30272DBB" wp14:editId="6A123912">
                <wp:simplePos x="0" y="0"/>
                <wp:positionH relativeFrom="column">
                  <wp:posOffset>2909570</wp:posOffset>
                </wp:positionH>
                <wp:positionV relativeFrom="paragraph">
                  <wp:posOffset>0</wp:posOffset>
                </wp:positionV>
                <wp:extent cx="457200" cy="359410"/>
                <wp:effectExtent l="0" t="0" r="0" b="0"/>
                <wp:wrapNone/>
                <wp:docPr id="18" name="Rectangle 18"/>
                <wp:cNvGraphicFramePr/>
                <a:graphic xmlns:a="http://schemas.openxmlformats.org/drawingml/2006/main">
                  <a:graphicData uri="http://schemas.microsoft.com/office/word/2010/wordprocessingShape">
                    <wps:wsp>
                      <wps:cNvSpPr/>
                      <wps:spPr>
                        <a:xfrm>
                          <a:off x="0" y="0"/>
                          <a:ext cx="4572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15E0" w:rsidRPr="00B73389" w:rsidRDefault="005015E0" w:rsidP="005015E0">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72DBB" id="Rectangle 18" o:spid="_x0000_s1035" style="position:absolute;left:0;text-align:left;margin-left:229.1pt;margin-top:0;width:36pt;height:2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" filled="f" stroked="f" strokeweight="2pt">
                <v:textbox>
                  <w:txbxContent>
                    <w:p w:rsidR="005015E0" w:rsidRPr="00B73389" w:rsidRDefault="005015E0" w:rsidP="005015E0">
                      <w:pPr>
                        <w:jc w:val="center"/>
                        <w:rPr>
                          <w:color w:val="000000" w:themeColor="text1"/>
                        </w:rPr>
                      </w:pPr>
                      <w:r>
                        <w:rPr>
                          <w:color w:val="000000" w:themeColor="text1"/>
                        </w:rPr>
                        <w:t>(b)</w:t>
                      </w:r>
                    </w:p>
                  </w:txbxContent>
                </v:textbox>
              </v:rect>
            </w:pict>
          </mc:Fallback>
        </mc:AlternateContent>
      </w:r>
      <w:r>
        <w:rPr>
          <w:rFonts w:ascii="Times New Roman" w:hAnsi="Times New Roman"/>
          <w:b/>
          <w:noProof/>
          <w:sz w:val="24"/>
          <w:szCs w:val="24"/>
          <w:lang w:val="en-US"/>
        </w:rPr>
        <w:drawing>
          <wp:inline distT="0" distB="0" distL="0" distR="0" wp14:anchorId="7A61FB35" wp14:editId="1BEF2747">
            <wp:extent cx="2563492" cy="1920240"/>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63492" cy="1920240"/>
                    </a:xfrm>
                    <a:prstGeom prst="rect">
                      <a:avLst/>
                    </a:prstGeom>
                    <a:noFill/>
                  </pic:spPr>
                </pic:pic>
              </a:graphicData>
            </a:graphic>
          </wp:inline>
        </w:drawing>
      </w:r>
    </w:p>
    <w:p w:rsidR="005015E0" w:rsidRDefault="005015E0" w:rsidP="005015E0">
      <w:pPr>
        <w:jc w:val="center"/>
        <w:rPr>
          <w:rFonts w:ascii="Times New Roman" w:hAnsi="Times New Roman"/>
          <w:b/>
          <w:noProof/>
          <w:sz w:val="24"/>
          <w:szCs w:val="24"/>
          <w:lang w:val="en-US"/>
        </w:rPr>
      </w:pPr>
    </w:p>
    <w:p w:rsidR="005015E0" w:rsidRDefault="005015E0" w:rsidP="005015E0">
      <w:pPr>
        <w:pStyle w:val="Caption"/>
        <w:jc w:val="both"/>
        <w:rPr>
          <w:rFonts w:ascii="Times New Roman" w:hAnsi="Times New Roman"/>
          <w:i w:val="0"/>
          <w:color w:val="auto"/>
          <w:sz w:val="22"/>
          <w:szCs w:val="22"/>
        </w:rPr>
      </w:pPr>
      <w:bookmarkStart w:id="8" w:name="_Ref58839427"/>
      <w:r w:rsidRPr="005015E0">
        <w:rPr>
          <w:rFonts w:ascii="Times New Roman" w:hAnsi="Times New Roman"/>
          <w:i w:val="0"/>
          <w:color w:val="auto"/>
          <w:sz w:val="22"/>
          <w:szCs w:val="22"/>
        </w:rPr>
        <w:t xml:space="preserve">Figure </w:t>
      </w:r>
      <w:r w:rsidRPr="005015E0">
        <w:rPr>
          <w:rFonts w:ascii="Times New Roman" w:hAnsi="Times New Roman"/>
          <w:i w:val="0"/>
          <w:color w:val="auto"/>
          <w:sz w:val="22"/>
          <w:szCs w:val="22"/>
        </w:rPr>
        <w:fldChar w:fldCharType="begin"/>
      </w:r>
      <w:r w:rsidRPr="005015E0">
        <w:rPr>
          <w:rFonts w:ascii="Times New Roman" w:hAnsi="Times New Roman"/>
          <w:i w:val="0"/>
          <w:color w:val="auto"/>
          <w:sz w:val="22"/>
          <w:szCs w:val="22"/>
        </w:rPr>
        <w:instrText xml:space="preserve"> SEQ Figure \* ARABIC </w:instrText>
      </w:r>
      <w:r w:rsidRPr="005015E0">
        <w:rPr>
          <w:rFonts w:ascii="Times New Roman" w:hAnsi="Times New Roman"/>
          <w:i w:val="0"/>
          <w:color w:val="auto"/>
          <w:sz w:val="22"/>
          <w:szCs w:val="22"/>
        </w:rPr>
        <w:fldChar w:fldCharType="separate"/>
      </w:r>
      <w:r w:rsidRPr="005015E0">
        <w:rPr>
          <w:rFonts w:ascii="Times New Roman" w:hAnsi="Times New Roman"/>
          <w:i w:val="0"/>
          <w:noProof/>
          <w:color w:val="auto"/>
          <w:sz w:val="22"/>
          <w:szCs w:val="22"/>
        </w:rPr>
        <w:t>5</w:t>
      </w:r>
      <w:r w:rsidRPr="005015E0">
        <w:rPr>
          <w:rFonts w:ascii="Times New Roman" w:hAnsi="Times New Roman"/>
          <w:i w:val="0"/>
          <w:color w:val="auto"/>
          <w:sz w:val="22"/>
          <w:szCs w:val="22"/>
        </w:rPr>
        <w:fldChar w:fldCharType="end"/>
      </w:r>
      <w:bookmarkEnd w:id="8"/>
      <w:r w:rsidRPr="005015E0">
        <w:rPr>
          <w:rFonts w:ascii="Times New Roman" w:hAnsi="Times New Roman"/>
          <w:i w:val="0"/>
          <w:color w:val="auto"/>
          <w:sz w:val="22"/>
          <w:szCs w:val="22"/>
        </w:rPr>
        <w:t>: Selected secondary Phases area for (a) combination pouring temperature of 660 °C and holding time of 40 s; and (b) combination pouring temperature of 660 °C and holding time of 60</w:t>
      </w:r>
      <w:r>
        <w:rPr>
          <w:rFonts w:ascii="Times New Roman" w:hAnsi="Times New Roman"/>
          <w:i w:val="0"/>
          <w:color w:val="auto"/>
          <w:sz w:val="22"/>
          <w:szCs w:val="22"/>
        </w:rPr>
        <w:t>.</w:t>
      </w:r>
    </w:p>
    <w:p w:rsidR="005015E0" w:rsidRDefault="005015E0" w:rsidP="005015E0">
      <w:pPr>
        <w:jc w:val="both"/>
      </w:pPr>
      <w:r w:rsidRPr="005015E0">
        <w:t>The EDXS analysis showed that three main components were found, which were Aluminium (Al), Magnesium (Mg) and Silicon (Si) in both primary and secondary phases. The primary phases for the sample with combination pouring temperature of 660 °C and holding time of 60 s contain 97.72 % to 99.16 % of aluminium while combination pouring temperature of 660 °C and 40 s contain 89.63 to 95.97 % of aluminium. The secondary phases for the sample with a pouring temperature of 660 °C and holding time of 40 s contain only 54.37 to 82.89 % of aluminium. In comparison, the sample with a pouring temperature of 660 °C and a holding time of 20 s contains 61.75 to 98.01 % of aluminium.</w:t>
      </w:r>
    </w:p>
    <w:p w:rsidR="00FE79D6" w:rsidRDefault="005015E0" w:rsidP="001267A2">
      <w:pPr>
        <w:pStyle w:val="BodytextIndented"/>
      </w:pPr>
      <w:r>
        <w:lastRenderedPageBreak/>
        <w:t>The</w:t>
      </w:r>
      <w:r w:rsidRPr="006A2938">
        <w:t xml:space="preserve"> </w:t>
      </w:r>
      <w:r w:rsidRPr="005015E0">
        <w:t>difference between the compositions along the grain boundary may cause by the precipitation sequence. The DTM feedstock billets which were quenched in room temperature water caused an incomplete p</w:t>
      </w:r>
      <w:r w:rsidR="001267A2">
        <w:t>recipitation sequence process. The high aluminium</w:t>
      </w:r>
      <w:r w:rsidR="008004E2">
        <w:t xml:space="preserve"> precipitates in the </w:t>
      </w:r>
      <w:r w:rsidR="001267A2">
        <w:t xml:space="preserve">secondary phases were due to the presence of </w:t>
      </w:r>
      <w:r w:rsidR="00E42898">
        <w:t xml:space="preserve">a </w:t>
      </w:r>
      <w:r w:rsidR="001267A2">
        <w:t xml:space="preserve">homogenous </w:t>
      </w:r>
      <w:r w:rsidR="001267A2">
        <w:rPr>
          <w:rFonts w:cs="Times"/>
        </w:rPr>
        <w:t>α</w:t>
      </w:r>
      <w:r w:rsidR="001267A2">
        <w:t xml:space="preserve">-Al solution </w:t>
      </w:r>
      <w:r w:rsidR="001267A2">
        <w:fldChar w:fldCharType="begin" w:fldLock="1"/>
      </w:r>
      <w:r w:rsidR="001267A2">
        <w:instrText>ADDIN CSL_CITATION {"citationItems":[{"id":"ITEM-1","itemData":{"abstract":"Abstract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Kerkeni","given":"Leila","non-dropping-particle":"","parse-names":false,"suffix":""},{"dropping-particle":"","family":"Ruano","given":"Paula","non-dropping-particle":"","parse-names":false,"suffix":""},{"dropping-particle":"","family":"Delgado","given":"Lismet Lazo","non-dropping-particle":"","parse-names":false,"suffix":""},{"dropping-particle":"","family":"Picco","given":"Sergio","non-dropping-particle":"","parse-names":false,"suffix":""},{"dropping-particle":"","family":"Villegas","given":"Liliana","non-dropping-particle":"","parse-names":false,"suffix":""},{"dropping-particle":"","family":"Tonelli","given":"Franco","non-dropping-particle":"","parse-names":false,"suffix":""},{"dropping-particle":"","family":"Merlo","given":"Mario","non-dropping-particle":"","parse-names":false,"suffix":""},{"dropping-particle":"","family":"Rigau","given":"Javier","non-dropping-particle":"","parse-names":false,"suffix":""},{"dropping-particle":"","family":"Diaz","given":"Dario","non-dropping-particle":"","parse-names":false,"suffix":""},{"dropping-particle":"","family":"Masuelli","given":"Martin","non-dropping-particle":"","parse-names":false,"suffix":""}],"container-title":"Intech","id":"ITEM-1","issue":"tourism","issued":{"date-parts":[["2016"]]},"page":"13","title":"Mechanical Behavior of Precipitation Hardened Aluminum Alloys Welds","type":"article-journal"},"uris":["http://www.mendeley.com/documents/?uuid=c4fe3d7a-b910-4738-8c34-d205bd21a5d6"]}],"mendeley":{"formattedCitation":"[24]","plainTextFormattedCitation":"[24]"},"properties":{"noteIndex":0},"schema":"https://github.com/citation-style-language/schema/raw/master/csl-citation.json"}</w:instrText>
      </w:r>
      <w:r w:rsidR="001267A2">
        <w:fldChar w:fldCharType="separate"/>
      </w:r>
      <w:r w:rsidR="001267A2" w:rsidRPr="001267A2">
        <w:rPr>
          <w:noProof/>
        </w:rPr>
        <w:t>[24]</w:t>
      </w:r>
      <w:r w:rsidR="001267A2">
        <w:fldChar w:fldCharType="end"/>
      </w:r>
      <w:r w:rsidR="001267A2">
        <w:t xml:space="preserve">. The homogenous </w:t>
      </w:r>
      <w:r w:rsidR="001267A2">
        <w:rPr>
          <w:rFonts w:cs="Times"/>
        </w:rPr>
        <w:t>α</w:t>
      </w:r>
      <w:r w:rsidR="001267A2">
        <w:t xml:space="preserve">-Al solution allowed the secondary phase to be dissolved and preventing the isolation of the alloy. </w:t>
      </w:r>
      <w:r w:rsidRPr="005015E0">
        <w:t>The excess of the Si element in aluminium alloy 6061 was required to produce the stoichiometric of Mg2Si elements to improve the alloy properties due to metastable ß’’precipitation d</w:t>
      </w:r>
      <w:r w:rsidR="00324C03">
        <w:t xml:space="preserve">uring the solidification process </w:t>
      </w:r>
      <w:r w:rsidR="00324C03">
        <w:fldChar w:fldCharType="begin" w:fldLock="1"/>
      </w:r>
      <w:r w:rsidR="001267A2">
        <w:instrText>ADDIN CSL_CITATION {"citationItems":[{"id":"ITEM-1","itemData":{"author":[{"dropping-particle":"","family":"Gupta","given":"A K","non-dropping-particle":"","parse-names":false,"suffix":""},{"dropping-particle":"","family":"Lloyd","given":"D J","non-dropping-particle":"","parse-names":false,"suffix":""},{"dropping-particle":"","family":"Court","given":"S A","non-dropping-particle":"","parse-names":false,"suffix":""}],"id":"ITEM-1","issued":{"date-parts":[["2001"]]},"page":"11-17","title":"Precipitation hardening in Al – Mg – Si alloys with and without excess Si","type":"article-journal","volume":"316"},"uris":["http://www.mendeley.com/documents/?uuid=ab31dca4-93a2-4db4-83b5-ed047a25c8ae"]}],"mendeley":{"formattedCitation":"[25]","plainTextFormattedCitation":"[25]","previouslyFormattedCitation":"[24]"},"properties":{"noteIndex":0},"schema":"https://github.com/citation-style-language/schema/raw/master/csl-citation.json"}</w:instrText>
      </w:r>
      <w:r w:rsidR="00324C03">
        <w:fldChar w:fldCharType="separate"/>
      </w:r>
      <w:r w:rsidR="001267A2" w:rsidRPr="001267A2">
        <w:rPr>
          <w:noProof/>
        </w:rPr>
        <w:t>[25]</w:t>
      </w:r>
      <w:r w:rsidR="00324C03">
        <w:fldChar w:fldCharType="end"/>
      </w:r>
      <w:r w:rsidRPr="005015E0">
        <w:t>. In the early precipi</w:t>
      </w:r>
      <w:r w:rsidR="00E42C66">
        <w:t>tation sequence, the Si element was</w:t>
      </w:r>
      <w:r w:rsidRPr="005015E0">
        <w:t xml:space="preserve"> increasingly more than Mg elements, thus changing the agglomerate configuration</w:t>
      </w:r>
      <w:r w:rsidR="00324C03">
        <w:t xml:space="preserve"> </w:t>
      </w:r>
      <w:r w:rsidR="00324C03">
        <w:fldChar w:fldCharType="begin" w:fldLock="1"/>
      </w:r>
      <w:r w:rsidR="001267A2">
        <w:instrText>ADDIN CSL_CITATION {"citationItems":[{"id":"ITEM-1","itemData":{"DOI":"10.1016/S1044-5803(02)00325-X","ISBN":"3971220479","ISSN":"10445803","abstract":"A thixoformed 6082 aluminum alloy was subjected to microstructural study using electron microscopy techniques. Thixocast bars and a component of complex shape were investigated. The effect of heat treatment (T6, solution treatment and artificial aging, and T8, solution treatment, cold rolling, and artificial aging) was studied in terms of hardness and precipitation sequence. In particular, T8 treatment had a threefold hardening effect compared with T6. The role of the eutectic and the aging response of the α globules were studied. The precipitation sequence within the globules was found similar to the one of wrought Al-Mg-Si alloy, while the precipitation phenomena within the eutectic followed different kinetics. © 2002 Published by Elsevier Science Inc.","author":[{"dropping-particle":"","family":"Cabibbo","given":"M.","non-dropping-particle":"","parse-names":false,"suffix":""},{"dropping-particle":"","family":"Spigarelli","given":"S.","non-dropping-particle":"","parse-names":false,"suffix":""},{"dropping-particle":"","family":"Evangelista","given":"E.","non-dropping-particle":"","parse-names":false,"suffix":""}],"container-title":"Materials Characterization","id":"ITEM-1","issue":"3","issued":{"date-parts":[["2002"]]},"page":"193-202","title":"A TEM investigation on the effect of semisolid forming on precipitation processes in an Al-Mg-Si Alloy","type":"article-journal","volume":"49"},"uris":["http://www.mendeley.com/documents/?uuid=996cf6ca-d169-4630-a9bd-02441cb0c40a"]},{"id":"ITEM-2","itemData":{"DOI":"10.1016/S0921-5093(98)00548-6","ISSN":"09215093","abstract":"Pre-precipitation stages of Al-0.70Mg-0.33Si and Al-0.65Mg-0.70Si (at.%) alloys have been investigated by atom probe field ion microscopy (APFIM) and high resolution transmission electron microscopy (HREM). Atom probe results show that clusters of Mg atoms are present in the as-quenched state. After a prolonged aging at room temperature, clusters of Mg, Si and their co-clusters are detected, although no contrasts suggesting the presence of precipitates are observed in HREM images. In the specimens aged at 175°C for 30 min, small equiaxed Mg-Si precipitates are observed by TEM. APFIM results show that the ratio of Mg to Si atoms in the precipitates is close to 1, rather than 2, which is expected from the equilibrium concentration of Mg2Si.","author":[{"dropping-particle":"","family":"Murayama","given":"M.","non-dropping-particle":"","parse-names":false,"suffix":""},{"dropping-particle":"","family":"Hono","given":"K.","non-dropping-particle":"","parse-names":false,"suffix":""},{"dropping-particle":"","family":"Saga","given":"M.","non-dropping-particle":"","parse-names":false,"suffix":""},{"dropping-particle":"","family":"Kikuchi","given":"M.","non-dropping-particle":"","parse-names":false,"suffix":""}],"container-title":"Materials Science and Engineering A","id":"ITEM-2","issue":"1","issued":{"date-parts":[["1998"]]},"page":"127-132","title":"Atom probe studies on the early stages of precipitation in Al-Mg-Si alloys","type":"article-journal","volume":"250"},"uris":["http://www.mendeley.com/documents/?uuid=aa33deb8-4688-43df-9276-911ac7e07586"]}],"mendeley":{"formattedCitation":"[26], [27]","manualFormatting":"[25- 26]","plainTextFormattedCitation":"[26], [27]","previouslyFormattedCitation":"[25], [26]"},"properties":{"noteIndex":0},"schema":"https://github.com/citation-style-language/schema/raw/master/csl-citation.json"}</w:instrText>
      </w:r>
      <w:r w:rsidR="00324C03">
        <w:fldChar w:fldCharType="separate"/>
      </w:r>
      <w:r w:rsidR="00324C03" w:rsidRPr="00324C03">
        <w:rPr>
          <w:noProof/>
        </w:rPr>
        <w:t>[25</w:t>
      </w:r>
      <w:r w:rsidR="00324C03">
        <w:rPr>
          <w:noProof/>
        </w:rPr>
        <w:t>-</w:t>
      </w:r>
      <w:r w:rsidR="00324C03" w:rsidRPr="00324C03">
        <w:rPr>
          <w:noProof/>
        </w:rPr>
        <w:t xml:space="preserve"> 26]</w:t>
      </w:r>
      <w:r w:rsidR="00324C03">
        <w:fldChar w:fldCharType="end"/>
      </w:r>
      <w:r w:rsidRPr="005015E0">
        <w:t>. The minimum amount of Si elements precipitate in the alloy, the metastable ß’’ become less stable and reduced the properties of the alloy</w:t>
      </w:r>
      <w:r w:rsidR="00FE79D6">
        <w:t>.</w:t>
      </w:r>
    </w:p>
    <w:p w:rsidR="00624C95" w:rsidRDefault="00624C95" w:rsidP="00624C95">
      <w:pPr>
        <w:pStyle w:val="BodytextIndented"/>
        <w:ind w:firstLine="0"/>
      </w:pPr>
    </w:p>
    <w:p w:rsidR="00624C95" w:rsidRDefault="00624C95" w:rsidP="00624C95">
      <w:pPr>
        <w:pStyle w:val="Section"/>
      </w:pPr>
      <w:r>
        <w:t>Conclusion</w:t>
      </w:r>
    </w:p>
    <w:p w:rsidR="00624C95" w:rsidRPr="00624C95" w:rsidRDefault="00624C95" w:rsidP="00624C95">
      <w:pPr>
        <w:pStyle w:val="Bodytext"/>
        <w:rPr>
          <w:lang w:val="en-GB"/>
        </w:rPr>
      </w:pPr>
      <w:r w:rsidRPr="00624C95">
        <w:rPr>
          <w:lang w:val="en-GB"/>
        </w:rPr>
        <w:t>In conclusion, these experimental works have successfully investigated the impact of specific pouring temperature and holding time on aluminium alloy 6061 feedstock billets produced by DTM. The specific pouring temperature and holding time used in this experimental works influence the microstructure formation during the solidification process. The combination of 660 °C and 20 s produces fine globular microstructure and smallest grain size compared to other parameters. This small grain size and near globular microstructure are good for forming operation. During the solidification process, the slow cooling rates facilitate the formation of nuclei which will develop smaller grain size. The globular microstructure formation purely depended on the heat convection of the molten alloy out from the copper mould. The faster heat convected out from the molten alloy, it will retard the formation of dendritic microstructure thus transformed it into globular microstructure for SSM processing. The lower pouring temperature enhances the formation of nucleation during the solidification process, thus produce more globular microstructure and smaller grain size.</w:t>
      </w:r>
    </w:p>
    <w:p w:rsidR="004808B4" w:rsidRDefault="004808B4" w:rsidP="001267A2">
      <w:pPr>
        <w:pStyle w:val="BodytextIndented"/>
      </w:pPr>
    </w:p>
    <w:p w:rsidR="004808B4" w:rsidRPr="004808B4" w:rsidRDefault="004808B4" w:rsidP="004808B4">
      <w:pPr>
        <w:pStyle w:val="BodytextIndented"/>
        <w:ind w:firstLine="0"/>
        <w:rPr>
          <w:b/>
        </w:rPr>
      </w:pPr>
      <w:r>
        <w:rPr>
          <w:b/>
        </w:rPr>
        <w:t>Acknowledgement</w:t>
      </w:r>
    </w:p>
    <w:p w:rsidR="004808B4" w:rsidRPr="004808B4" w:rsidRDefault="004808B4" w:rsidP="004808B4">
      <w:pPr>
        <w:jc w:val="both"/>
        <w:rPr>
          <w:lang w:val="en-US"/>
        </w:rPr>
      </w:pPr>
      <w:r w:rsidRPr="004808B4">
        <w:rPr>
          <w:lang w:val="en-US"/>
        </w:rPr>
        <w:t>The authors would like to appreciate the support from Universiti Malaysia Pahang for funding this experimental work with the grant numbers of RDU1603125 and RDU160311.</w:t>
      </w:r>
    </w:p>
    <w:p w:rsidR="005015E0" w:rsidRPr="005015E0" w:rsidRDefault="005015E0" w:rsidP="005015E0">
      <w:pPr>
        <w:jc w:val="both"/>
      </w:pPr>
    </w:p>
    <w:p w:rsidR="009A0487" w:rsidRDefault="009A0487">
      <w:pPr>
        <w:pStyle w:val="Sectionnonumber"/>
      </w:pPr>
      <w:r>
        <w:t>References</w:t>
      </w:r>
    </w:p>
    <w:p w:rsidR="001267A2" w:rsidRPr="001267A2" w:rsidRDefault="00324C03" w:rsidP="00DC108C">
      <w:pPr>
        <w:widowControl w:val="0"/>
        <w:autoSpaceDE w:val="0"/>
        <w:autoSpaceDN w:val="0"/>
        <w:adjustRightInd w:val="0"/>
        <w:ind w:left="640" w:hanging="640"/>
        <w:jc w:val="both"/>
        <w:rPr>
          <w:rFonts w:cs="Times"/>
          <w:noProof/>
          <w:szCs w:val="24"/>
        </w:rPr>
      </w:pPr>
      <w:r>
        <w:fldChar w:fldCharType="begin" w:fldLock="1"/>
      </w:r>
      <w:r>
        <w:instrText xml:space="preserve">ADDIN Mendeley Bibliography CSL_BIBLIOGRAPHY </w:instrText>
      </w:r>
      <w:r>
        <w:fldChar w:fldCharType="separate"/>
      </w:r>
      <w:r w:rsidR="001267A2" w:rsidRPr="001267A2">
        <w:rPr>
          <w:rFonts w:cs="Times"/>
          <w:noProof/>
          <w:szCs w:val="24"/>
        </w:rPr>
        <w:t>[1]</w:t>
      </w:r>
      <w:r w:rsidR="001267A2" w:rsidRPr="001267A2">
        <w:rPr>
          <w:rFonts w:cs="Times"/>
          <w:noProof/>
          <w:szCs w:val="24"/>
        </w:rPr>
        <w:tab/>
      </w:r>
      <w:r w:rsidR="001267A2" w:rsidRPr="00324C03">
        <w:rPr>
          <w:rFonts w:cs="Times"/>
          <w:noProof/>
          <w:szCs w:val="24"/>
        </w:rPr>
        <w:t>Z. Chang, N. Su, Y. Wu, Q. Lan, L. Peng, and W. Ding, “Semisolid rheoforming of magnesium alloys : A review,”</w:t>
      </w:r>
      <w:r w:rsidR="001267A2">
        <w:rPr>
          <w:rFonts w:cs="Times"/>
          <w:noProof/>
          <w:szCs w:val="24"/>
        </w:rPr>
        <w:t xml:space="preserve"> p. 108990, 2020</w:t>
      </w:r>
      <w:r w:rsidR="001267A2" w:rsidRPr="00324C03">
        <w:rPr>
          <w:rFonts w:cs="Times"/>
          <w:noProof/>
          <w:szCs w:val="24"/>
        </w:rPr>
        <w:t>.</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w:t>
      </w:r>
      <w:r w:rsidRPr="001267A2">
        <w:rPr>
          <w:rFonts w:cs="Times"/>
          <w:noProof/>
          <w:szCs w:val="24"/>
        </w:rPr>
        <w:tab/>
      </w:r>
      <w:r w:rsidRPr="00324C03">
        <w:rPr>
          <w:rFonts w:cs="Times"/>
          <w:noProof/>
          <w:szCs w:val="24"/>
        </w:rPr>
        <w:t>J. Jiang, Y. Zhang, Y. Wang, G. Xiao, Y. Liu, and L. Zeng, “Microstructure and mechanical properties of thixoforged complex box-type component of 2A12 aluminum alloy,” p. 108859, 2020.</w:t>
      </w:r>
      <w:r w:rsidRPr="001267A2">
        <w:rPr>
          <w:rFonts w:cs="Times"/>
          <w:noProof/>
          <w:szCs w:val="24"/>
        </w:rPr>
        <w:t>.</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[3]</w:t>
      </w:r>
      <w:r w:rsidRPr="001267A2">
        <w:rPr>
          <w:rFonts w:cs="Times"/>
          <w:noProof/>
          <w:szCs w:val="24"/>
        </w:rPr>
        <w:tab/>
      </w:r>
      <w:r w:rsidRPr="00324C03">
        <w:rPr>
          <w:rFonts w:cs="Times"/>
          <w:noProof/>
          <w:szCs w:val="24"/>
        </w:rPr>
        <w:t>M. Rosso, I. Peter, and P. Torino, “New frontiers for thixoforming,” vol. 8, 2013.</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[4]</w:t>
      </w:r>
      <w:r w:rsidRPr="001267A2">
        <w:rPr>
          <w:rFonts w:cs="Times"/>
          <w:noProof/>
          <w:szCs w:val="24"/>
        </w:rPr>
        <w:tab/>
        <w:t>A. H. Ahmad, “Effect of Temporal Thermal Field on Quality of Semi-solid Metal Formed Components,” no. January, 2015.</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[5]</w:t>
      </w:r>
      <w:r w:rsidRPr="001267A2">
        <w:rPr>
          <w:rFonts w:cs="Times"/>
          <w:noProof/>
          <w:szCs w:val="24"/>
        </w:rPr>
        <w:tab/>
        <w:t>M. N. Abdulrazaq, “An Overview of Semi-Solid Metal Processing,”</w:t>
      </w:r>
      <w:r>
        <w:rPr>
          <w:rFonts w:cs="Times"/>
          <w:noProof/>
          <w:szCs w:val="24"/>
        </w:rPr>
        <w:t xml:space="preserve"> </w:t>
      </w:r>
      <w:r w:rsidRPr="001267A2">
        <w:rPr>
          <w:rFonts w:cs="Times"/>
          <w:noProof/>
          <w:szCs w:val="24"/>
        </w:rPr>
        <w:t xml:space="preserve"> 2014.</w:t>
      </w:r>
    </w:p>
    <w:p w:rsidR="00DC108C"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[6]</w:t>
      </w:r>
      <w:r w:rsidRPr="001267A2">
        <w:rPr>
          <w:rFonts w:cs="Times"/>
          <w:noProof/>
          <w:szCs w:val="24"/>
        </w:rPr>
        <w:tab/>
        <w:t xml:space="preserve">A. H. Ahmad, S. Naher, and D. Brabazon, “The Effect of Direct Thermal Method , Temperature and Time on Microstructure of a cast aluminium alloy,” </w:t>
      </w:r>
      <w:r w:rsidR="00DC108C">
        <w:rPr>
          <w:rFonts w:cs="Times"/>
          <w:noProof/>
          <w:szCs w:val="24"/>
        </w:rPr>
        <w:t>2014.</w:t>
      </w:r>
    </w:p>
    <w:p w:rsidR="001267A2" w:rsidRPr="001267A2" w:rsidRDefault="00DC108C" w:rsidP="00DC108C">
      <w:pPr>
        <w:widowControl w:val="0"/>
        <w:autoSpaceDE w:val="0"/>
        <w:autoSpaceDN w:val="0"/>
        <w:adjustRightInd w:val="0"/>
        <w:ind w:left="640" w:hanging="640"/>
        <w:jc w:val="both"/>
        <w:rPr>
          <w:rFonts w:cs="Times"/>
          <w:noProof/>
          <w:szCs w:val="24"/>
        </w:rPr>
      </w:pPr>
      <w:r w:rsidRPr="001267A2">
        <w:rPr>
          <w:rFonts w:cs="Times"/>
          <w:noProof/>
          <w:szCs w:val="24"/>
        </w:rPr>
        <w:t xml:space="preserve"> </w:t>
      </w:r>
      <w:r w:rsidR="001267A2" w:rsidRPr="001267A2">
        <w:rPr>
          <w:rFonts w:cs="Times"/>
          <w:noProof/>
          <w:szCs w:val="24"/>
        </w:rPr>
        <w:t>[7]</w:t>
      </w:r>
      <w:r w:rsidR="001267A2" w:rsidRPr="001267A2">
        <w:rPr>
          <w:rFonts w:cs="Times"/>
          <w:noProof/>
          <w:szCs w:val="24"/>
        </w:rPr>
        <w:tab/>
        <w:t>B. Benjunior, A. H. Ahmad, and M. M. Rashidi, “Direct thermal method pouring temperature and holding time effect on aluminium alloy 6061 microstructure,”, 2020.</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[8]</w:t>
      </w:r>
      <w:r w:rsidRPr="001267A2">
        <w:rPr>
          <w:rFonts w:cs="Times"/>
          <w:noProof/>
          <w:szCs w:val="24"/>
        </w:rPr>
        <w:tab/>
        <w:t>N. A. Razak, A. H. Ahmad, and M. M. Rashidi, “Investigation of pouring temperature and holding time for semisolid metal feedstock production,”, 2017.</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[9]</w:t>
      </w:r>
      <w:r w:rsidRPr="001267A2">
        <w:rPr>
          <w:rFonts w:cs="Times"/>
          <w:noProof/>
          <w:szCs w:val="24"/>
        </w:rPr>
        <w:tab/>
        <w:t>M. Rosso, “Thixocasting and rheocasting technologies , improvements going on,” vol. 54, no. 1, pp. 110–119, 2012.</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[10]</w:t>
      </w:r>
      <w:r w:rsidRPr="001267A2">
        <w:rPr>
          <w:rFonts w:cs="Times"/>
          <w:noProof/>
          <w:szCs w:val="24"/>
        </w:rPr>
        <w:tab/>
        <w:t>D. J. Browne, M. J. Hussey, A. J. Carr, and D. Brabazon, “Direct thermal method: New process for development of globular alloy microstructure,” vol. 16, no. 4, pp. 418–426, 2003.</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lastRenderedPageBreak/>
        <w:t>[11]</w:t>
      </w:r>
      <w:r w:rsidRPr="001267A2">
        <w:rPr>
          <w:rFonts w:cs="Times"/>
          <w:noProof/>
          <w:szCs w:val="24"/>
        </w:rPr>
        <w:tab/>
        <w:t>A. J. Carr, D. J. Browne, M. J. Hussey, N. Lumsden, and M. Scanlan, “Modelling and experimental development of the direct thermal method of rheocasting,” vol. 20, no. 6, pp. 325–332, 2007</w:t>
      </w:r>
      <w:r w:rsidR="00DC108C">
        <w:rPr>
          <w:rFonts w:cs="Times"/>
          <w:noProof/>
          <w:szCs w:val="24"/>
        </w:rPr>
        <w:t>.</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[12]</w:t>
      </w:r>
      <w:r w:rsidRPr="001267A2">
        <w:rPr>
          <w:rFonts w:cs="Times"/>
          <w:noProof/>
          <w:szCs w:val="24"/>
        </w:rPr>
        <w:tab/>
        <w:t>D. J. Browne, M. J. Hussey, and A. J. Carr, “Towards optimisation of the direct thermal method of rheocasting,” vol. 356, pp. 227–235, 2004.</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[13]</w:t>
      </w:r>
      <w:r w:rsidRPr="001267A2">
        <w:rPr>
          <w:rFonts w:cs="Times"/>
          <w:noProof/>
          <w:szCs w:val="24"/>
        </w:rPr>
        <w:tab/>
        <w:t xml:space="preserve">T. G. Liščić B, Tensi H., Canale L., </w:t>
      </w:r>
      <w:r w:rsidRPr="00DC108C">
        <w:rPr>
          <w:rFonts w:cs="Times"/>
          <w:iCs/>
          <w:noProof/>
          <w:szCs w:val="24"/>
        </w:rPr>
        <w:t>Quenching Theory and Technology Second Edition</w:t>
      </w:r>
      <w:r w:rsidRPr="001267A2">
        <w:rPr>
          <w:rFonts w:cs="Times"/>
          <w:noProof/>
          <w:szCs w:val="24"/>
        </w:rPr>
        <w:t>. 2010.</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[14]</w:t>
      </w:r>
      <w:r w:rsidRPr="001267A2">
        <w:rPr>
          <w:rFonts w:cs="Times"/>
          <w:noProof/>
          <w:szCs w:val="24"/>
        </w:rPr>
        <w:tab/>
        <w:t>J. R. Davis, “Aluminum and Aluminum Alloys,” pp. 351–416, 2001.</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[15]</w:t>
      </w:r>
      <w:r w:rsidRPr="001267A2">
        <w:rPr>
          <w:rFonts w:cs="Times"/>
          <w:noProof/>
          <w:szCs w:val="24"/>
        </w:rPr>
        <w:tab/>
        <w:t>M. R. Rezaei, M. R. Toroghinejad, and F. Ashrafizadeh, “Effects of ARB and ageing processes on mechanical properties and microstructure of 6061 aluminum alloy,” pp. 1184–1190, 2011.</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[16]</w:t>
      </w:r>
      <w:r w:rsidRPr="001267A2">
        <w:rPr>
          <w:rFonts w:cs="Times"/>
          <w:noProof/>
          <w:szCs w:val="24"/>
        </w:rPr>
        <w:tab/>
        <w:t>S.-H. Lee, Y. Saito, T. Sakai, and H. Utsunomiya, “Microstructures and mechanical properties of 6061 aluminum alloy processed by accumulative roll-bonding,”, pp. 228–235, 2002.</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[17]</w:t>
      </w:r>
      <w:r w:rsidRPr="001267A2">
        <w:rPr>
          <w:rFonts w:cs="Times"/>
          <w:noProof/>
          <w:szCs w:val="24"/>
        </w:rPr>
        <w:tab/>
        <w:t>A. H. Ahmad, S. Naher, and D. Brabazon, “Direct Thermal Method of Aluminium 7075,” pp. 400–408, 2014.</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[18]</w:t>
      </w:r>
      <w:r w:rsidRPr="001267A2">
        <w:rPr>
          <w:rFonts w:cs="Times"/>
          <w:noProof/>
          <w:szCs w:val="24"/>
        </w:rPr>
        <w:tab/>
        <w:t>Z. L. Ning, H. Wang, and J. F. Sun, “Deformation behavior of semisolid a356 alloy prepared by low temperature pouring,” pp. 648–653, 2010.</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[19]</w:t>
      </w:r>
      <w:r w:rsidRPr="001267A2">
        <w:rPr>
          <w:rFonts w:cs="Times"/>
          <w:noProof/>
          <w:szCs w:val="24"/>
        </w:rPr>
        <w:tab/>
        <w:t>H. Wang, B. Li, J. Jie, and Z. Wei, “Influence of thermal rate treatment and low temperature pouring on microstructure and tensile properties of AlSi7Mg alloy,” pp. 2992–2996, 2011.</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[20]</w:t>
      </w:r>
      <w:r w:rsidRPr="001267A2">
        <w:rPr>
          <w:rFonts w:cs="Times"/>
          <w:noProof/>
          <w:szCs w:val="24"/>
        </w:rPr>
        <w:tab/>
        <w:t>A. H. Ahmad, S. Naher, and D. Brabazon, “Direct Thermal Method of Aluminium 7075,”, pp. 400–408, 2014.</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[21]</w:t>
      </w:r>
      <w:r w:rsidRPr="001267A2">
        <w:rPr>
          <w:rFonts w:cs="Times"/>
          <w:noProof/>
          <w:szCs w:val="24"/>
        </w:rPr>
        <w:tab/>
        <w:t>M. Flemings, “Behavior of Metal Alloys in the Semisolid State,” pp. 957–981, 1991.</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[22]</w:t>
      </w:r>
      <w:r w:rsidRPr="001267A2">
        <w:rPr>
          <w:rFonts w:cs="Times"/>
          <w:noProof/>
          <w:szCs w:val="24"/>
        </w:rPr>
        <w:tab/>
        <w:t>Z. Fan, “Semisolid metal processing,” pp. 49–85, Apr. 2002.</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[23]</w:t>
      </w:r>
      <w:r w:rsidRPr="001267A2">
        <w:rPr>
          <w:rFonts w:cs="Times"/>
          <w:noProof/>
          <w:szCs w:val="24"/>
        </w:rPr>
        <w:tab/>
        <w:t>M. Reisi and B. Niroumand, “Initial stages of solidification during semisolid processing of a transparent model material,” pp. 738–748, 2012.</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[24]</w:t>
      </w:r>
      <w:r w:rsidRPr="001267A2">
        <w:rPr>
          <w:rFonts w:cs="Times"/>
          <w:noProof/>
          <w:szCs w:val="24"/>
        </w:rPr>
        <w:tab/>
        <w:t xml:space="preserve">L. Kerkeni </w:t>
      </w:r>
      <w:r w:rsidRPr="001267A2">
        <w:rPr>
          <w:rFonts w:cs="Times"/>
          <w:i/>
          <w:iCs/>
          <w:noProof/>
          <w:szCs w:val="24"/>
        </w:rPr>
        <w:t>et al.</w:t>
      </w:r>
      <w:r w:rsidRPr="001267A2">
        <w:rPr>
          <w:rFonts w:cs="Times"/>
          <w:noProof/>
          <w:szCs w:val="24"/>
        </w:rPr>
        <w:t>, “Mechanical Behavior of Precipitation Hardened Aluminum Alloys Welds,”p. 13, 2016.</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[25]</w:t>
      </w:r>
      <w:r w:rsidRPr="001267A2">
        <w:rPr>
          <w:rFonts w:cs="Times"/>
          <w:noProof/>
          <w:szCs w:val="24"/>
        </w:rPr>
        <w:tab/>
        <w:t>A. K. Gupta, D. J. Lloyd, and S. A. Court, “Precipitation hardening in Al – Mg – Si alloys with and without excess Si,” pp. 11–17, 2001.</w:t>
      </w:r>
    </w:p>
    <w:p w:rsidR="001267A2" w:rsidRPr="001267A2" w:rsidRDefault="001267A2" w:rsidP="00DC108C">
      <w:pPr>
        <w:widowControl w:val="0"/>
        <w:autoSpaceDE w:val="0"/>
        <w:autoSpaceDN w:val="0"/>
        <w:adjustRightInd w:val="0"/>
        <w:ind w:left="640" w:hanging="640"/>
        <w:jc w:val="both"/>
        <w:rPr>
          <w:rFonts w:cs="Times"/>
          <w:noProof/>
          <w:szCs w:val="24"/>
        </w:rPr>
      </w:pPr>
      <w:r w:rsidRPr="001267A2">
        <w:rPr>
          <w:rFonts w:cs="Times"/>
          <w:noProof/>
          <w:szCs w:val="24"/>
        </w:rPr>
        <w:t>[26]</w:t>
      </w:r>
      <w:r w:rsidRPr="001267A2">
        <w:rPr>
          <w:rFonts w:cs="Times"/>
          <w:noProof/>
          <w:szCs w:val="24"/>
        </w:rPr>
        <w:tab/>
        <w:t>M. Cabibbo, S. Spigarelli, and E. Evangelista, “A TEM investigation on the effect of semisolid forming on precipitation processes in an Al-Mg-Si Alloy,” pp. 193–202, 2002.</w:t>
      </w:r>
    </w:p>
    <w:p w:rsidR="001267A2" w:rsidRPr="001267A2" w:rsidRDefault="001267A2" w:rsidP="00DC108C">
      <w:pPr>
        <w:widowControl w:val="0"/>
        <w:autoSpaceDE w:val="0"/>
        <w:autoSpaceDN w:val="0"/>
        <w:adjustRightInd w:val="0"/>
        <w:ind w:left="640" w:hanging="640"/>
        <w:jc w:val="both"/>
        <w:rPr>
          <w:rFonts w:cs="Times"/>
          <w:noProof/>
        </w:rPr>
      </w:pPr>
      <w:r w:rsidRPr="001267A2">
        <w:rPr>
          <w:rFonts w:cs="Times"/>
          <w:noProof/>
          <w:szCs w:val="24"/>
        </w:rPr>
        <w:t>[27]</w:t>
      </w:r>
      <w:r w:rsidRPr="001267A2">
        <w:rPr>
          <w:rFonts w:cs="Times"/>
          <w:noProof/>
          <w:szCs w:val="24"/>
        </w:rPr>
        <w:tab/>
        <w:t>M. Murayama, K. Hono, M. Saga, and M. Kikuchi, “Atom probe studies on the early stages of precipitation in Al-Mg-Si alloys,” pp. 127–132, 1998.</w:t>
      </w:r>
    </w:p>
    <w:p w:rsidR="006F45A4" w:rsidRPr="00C05E48" w:rsidRDefault="00324C03" w:rsidP="00DC108C">
      <w:pPr>
        <w:jc w:val="both"/>
      </w:pPr>
      <w:r>
        <w:fldChar w:fldCharType="end"/>
      </w:r>
    </w:p>
    <w:sectPr w:rsidR="006F45A4" w:rsidRPr="00C05E48">
      <w:headerReference w:type="default" r:id="rId24"/>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82" w:rsidRDefault="00ED4582">
      <w:r>
        <w:separator/>
      </w:r>
    </w:p>
  </w:endnote>
  <w:endnote w:type="continuationSeparator" w:id="0">
    <w:p w:rsidR="00ED4582" w:rsidRDefault="00ED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82" w:rsidRPr="00043761" w:rsidRDefault="00ED4582">
      <w:pPr>
        <w:pStyle w:val="Bulleted"/>
        <w:numPr>
          <w:ilvl w:val="0"/>
          <w:numId w:val="0"/>
        </w:numPr>
        <w:rPr>
          <w:rFonts w:ascii="Sabon" w:hAnsi="Sabon"/>
          <w:color w:val="auto"/>
          <w:szCs w:val="20"/>
        </w:rPr>
      </w:pPr>
      <w:r>
        <w:separator/>
      </w:r>
    </w:p>
  </w:footnote>
  <w:footnote w:type="continuationSeparator" w:id="0">
    <w:p w:rsidR="00ED4582" w:rsidRDefault="00ED4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180A8F"/>
    <w:multiLevelType w:val="hybridMultilevel"/>
    <w:tmpl w:val="66F06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902B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95554A7"/>
    <w:multiLevelType w:val="hybridMultilevel"/>
    <w:tmpl w:val="C4E4F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7193D9C"/>
    <w:multiLevelType w:val="multilevel"/>
    <w:tmpl w:val="23CA67A4"/>
    <w:lvl w:ilvl="0">
      <w:start w:val="1"/>
      <w:numFmt w:val="decimal"/>
      <w:lvlText w:val="3.1.%1"/>
      <w:lvlJc w:val="center"/>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7"/>
  </w:num>
  <w:num w:numId="2">
    <w:abstractNumId w:val="1"/>
  </w:num>
  <w:num w:numId="3">
    <w:abstractNumId w:val="0"/>
  </w:num>
  <w:num w:numId="4">
    <w:abstractNumId w:val="5"/>
  </w:num>
  <w:num w:numId="5">
    <w:abstractNumId w:val="2"/>
  </w:num>
  <w:num w:numId="6">
    <w:abstractNumId w:val="3"/>
  </w:num>
  <w:num w:numId="7">
    <w:abstractNumId w:val="6"/>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en-MY"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K2MLIwNzU2NzYzNjVQ0lEKTi0uzszPAykwqwUAU0LzZCwAAAA="/>
  </w:docVars>
  <w:rsids>
    <w:rsidRoot w:val="00EF6BE4"/>
    <w:rsid w:val="00006EA6"/>
    <w:rsid w:val="00027A07"/>
    <w:rsid w:val="0006421C"/>
    <w:rsid w:val="001241C8"/>
    <w:rsid w:val="001267A2"/>
    <w:rsid w:val="00182C5D"/>
    <w:rsid w:val="001C3592"/>
    <w:rsid w:val="001E4136"/>
    <w:rsid w:val="00217A99"/>
    <w:rsid w:val="00324C03"/>
    <w:rsid w:val="00324D40"/>
    <w:rsid w:val="00432940"/>
    <w:rsid w:val="00447A01"/>
    <w:rsid w:val="004808B4"/>
    <w:rsid w:val="005015E0"/>
    <w:rsid w:val="005158FA"/>
    <w:rsid w:val="00583F28"/>
    <w:rsid w:val="00624C95"/>
    <w:rsid w:val="006A2938"/>
    <w:rsid w:val="006F45A4"/>
    <w:rsid w:val="007219AC"/>
    <w:rsid w:val="00733CB3"/>
    <w:rsid w:val="007A3644"/>
    <w:rsid w:val="008004E2"/>
    <w:rsid w:val="0085442B"/>
    <w:rsid w:val="008A02DA"/>
    <w:rsid w:val="00986BA2"/>
    <w:rsid w:val="009A0487"/>
    <w:rsid w:val="00A745DE"/>
    <w:rsid w:val="00A87F1B"/>
    <w:rsid w:val="00B05982"/>
    <w:rsid w:val="00B64313"/>
    <w:rsid w:val="00B65DB3"/>
    <w:rsid w:val="00B83F45"/>
    <w:rsid w:val="00DC108C"/>
    <w:rsid w:val="00E42898"/>
    <w:rsid w:val="00E42C66"/>
    <w:rsid w:val="00ED4582"/>
    <w:rsid w:val="00EF6BE4"/>
    <w:rsid w:val="00FE79D6"/>
    <w:rsid w:val="00FE7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8E256F-4BDD-451A-B851-4541CF2C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Caption">
    <w:name w:val="caption"/>
    <w:basedOn w:val="Normal"/>
    <w:next w:val="Normal"/>
    <w:uiPriority w:val="35"/>
    <w:unhideWhenUsed/>
    <w:qFormat/>
    <w:rsid w:val="006A2938"/>
    <w:pPr>
      <w:spacing w:after="200"/>
    </w:pPr>
    <w:rPr>
      <w:i/>
      <w:iCs/>
      <w:color w:val="1F497D" w:themeColor="text2"/>
      <w:sz w:val="18"/>
      <w:szCs w:val="18"/>
    </w:rPr>
  </w:style>
  <w:style w:type="table" w:styleId="TableGrid">
    <w:name w:val="Table Grid"/>
    <w:basedOn w:val="TableNormal"/>
    <w:uiPriority w:val="59"/>
    <w:rsid w:val="006A2938"/>
    <w:rPr>
      <w:rFonts w:ascii="Calibri" w:eastAsia="SimSun"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2938"/>
    <w:pPr>
      <w:ind w:left="720"/>
      <w:contextualSpacing/>
    </w:pPr>
  </w:style>
  <w:style w:type="paragraph" w:styleId="BalloonText">
    <w:name w:val="Balloon Text"/>
    <w:basedOn w:val="Normal"/>
    <w:link w:val="BalloonTextChar"/>
    <w:uiPriority w:val="99"/>
    <w:semiHidden/>
    <w:unhideWhenUsed/>
    <w:rsid w:val="004808B4"/>
    <w:rPr>
      <w:rFonts w:ascii="Tahoma" w:hAnsi="Tahoma" w:cs="Tahoma"/>
      <w:sz w:val="16"/>
      <w:szCs w:val="16"/>
    </w:rPr>
  </w:style>
  <w:style w:type="character" w:customStyle="1" w:styleId="BalloonTextChar">
    <w:name w:val="Balloon Text Char"/>
    <w:basedOn w:val="DefaultParagraphFont"/>
    <w:link w:val="BalloonText"/>
    <w:uiPriority w:val="99"/>
    <w:semiHidden/>
    <w:rsid w:val="004808B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microsoft.com/office/2007/relationships/hdphoto" Target="media/hdphoto5.wdp"/><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STER\Desktop\graph%20microstructu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STER\Desktop\graph%20microstructu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STER\Desktop\graph%20microstruct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6765624053834"/>
          <c:y val="8.3718378326564188E-2"/>
          <c:w val="0.84611549096995819"/>
          <c:h val="0.71862326009399058"/>
        </c:manualLayout>
      </c:layout>
      <c:lineChart>
        <c:grouping val="standard"/>
        <c:varyColors val="0"/>
        <c:ser>
          <c:idx val="0"/>
          <c:order val="0"/>
          <c:tx>
            <c:strRef>
              <c:f>Sheet1!$F$4</c:f>
              <c:strCache>
                <c:ptCount val="1"/>
                <c:pt idx="0">
                  <c:v>Average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dLbl>
              <c:idx val="0"/>
              <c:layout>
                <c:manualLayout>
                  <c:x val="-6.3582547733990954E-2"/>
                  <c:y val="-0.1085102931525783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97-4BEA-9F5B-12FB9CEB0137}"/>
                </c:ext>
                <c:ext xmlns:c15="http://schemas.microsoft.com/office/drawing/2012/chart" uri="{CE6537A1-D6FC-4f65-9D91-7224C49458BB}"/>
              </c:extLst>
            </c:dLbl>
            <c:dLbl>
              <c:idx val="2"/>
              <c:layout>
                <c:manualLayout>
                  <c:x val="-6.3582547733990927E-2"/>
                  <c:y val="-0.1510758357090715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97-4BEA-9F5B-12FB9CEB013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Ref>
                <c:f>Sheet1!$I$5:$I$7</c:f>
                <c:numCache>
                  <c:formatCode>General</c:formatCode>
                  <c:ptCount val="3"/>
                  <c:pt idx="0">
                    <c:v>258.39583799429442</c:v>
                  </c:pt>
                  <c:pt idx="1">
                    <c:v>109.58014447277228</c:v>
                  </c:pt>
                  <c:pt idx="2">
                    <c:v>790.73678929016057</c:v>
                  </c:pt>
                </c:numCache>
              </c:numRef>
            </c:plus>
            <c:minus>
              <c:numRef>
                <c:f>Sheet1!$I$5:$I$7</c:f>
                <c:numCache>
                  <c:formatCode>General</c:formatCode>
                  <c:ptCount val="3"/>
                  <c:pt idx="0">
                    <c:v>258.39583799429442</c:v>
                  </c:pt>
                  <c:pt idx="1">
                    <c:v>109.58014447277228</c:v>
                  </c:pt>
                  <c:pt idx="2">
                    <c:v>790.73678929016057</c:v>
                  </c:pt>
                </c:numCache>
              </c:numRef>
            </c:minus>
            <c:spPr>
              <a:noFill/>
              <a:ln w="9525" cap="flat" cmpd="sng" algn="ctr">
                <a:solidFill>
                  <a:schemeClr val="tx1">
                    <a:lumMod val="65000"/>
                    <a:lumOff val="35000"/>
                  </a:schemeClr>
                </a:solidFill>
                <a:round/>
              </a:ln>
              <a:effectLst/>
            </c:spPr>
          </c:errBars>
          <c:cat>
            <c:numRef>
              <c:f>Sheet1!$B$5:$B$7</c:f>
              <c:numCache>
                <c:formatCode>General</c:formatCode>
                <c:ptCount val="3"/>
                <c:pt idx="0">
                  <c:v>1</c:v>
                </c:pt>
                <c:pt idx="1">
                  <c:v>2</c:v>
                </c:pt>
                <c:pt idx="2">
                  <c:v>3</c:v>
                </c:pt>
              </c:numCache>
            </c:numRef>
          </c:cat>
          <c:val>
            <c:numRef>
              <c:f>Sheet1!$F$5:$F$7</c:f>
              <c:numCache>
                <c:formatCode>0.00</c:formatCode>
                <c:ptCount val="3"/>
                <c:pt idx="0">
                  <c:v>2547.8696666666669</c:v>
                </c:pt>
                <c:pt idx="1">
                  <c:v>3282.6020000000003</c:v>
                </c:pt>
                <c:pt idx="2">
                  <c:v>3510.5361109999999</c:v>
                </c:pt>
              </c:numCache>
            </c:numRef>
          </c:val>
          <c:smooth val="0"/>
          <c:extLst xmlns:c16r2="http://schemas.microsoft.com/office/drawing/2015/06/chart">
            <c:ext xmlns:c16="http://schemas.microsoft.com/office/drawing/2014/chart" uri="{C3380CC4-5D6E-409C-BE32-E72D297353CC}">
              <c16:uniqueId val="{00000002-7897-4BEA-9F5B-12FB9CEB0137}"/>
            </c:ext>
          </c:extLst>
        </c:ser>
        <c:dLbls>
          <c:dLblPos val="t"/>
          <c:showLegendKey val="0"/>
          <c:showVal val="1"/>
          <c:showCatName val="0"/>
          <c:showSerName val="0"/>
          <c:showPercent val="0"/>
          <c:showBubbleSize val="0"/>
        </c:dLbls>
        <c:marker val="1"/>
        <c:smooth val="0"/>
        <c:axId val="215360016"/>
        <c:axId val="215361584"/>
      </c:lineChart>
      <c:catAx>
        <c:axId val="215360016"/>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chemeClr val="dk1"/>
                    </a:solidFill>
                    <a:latin typeface="+mn-lt"/>
                    <a:ea typeface="+mn-ea"/>
                    <a:cs typeface="+mn-cs"/>
                  </a:defRPr>
                </a:pPr>
                <a:r>
                  <a:rPr lang="en-US"/>
                  <a:t>Specimen</a:t>
                </a:r>
              </a:p>
            </c:rich>
          </c:tx>
          <c:overlay val="0"/>
          <c:spPr>
            <a:noFill/>
            <a:ln>
              <a:noFill/>
            </a:ln>
            <a:effectLst/>
          </c:spPr>
        </c:title>
        <c:numFmt formatCode="General" sourceLinked="1"/>
        <c:majorTickMark val="none"/>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en-US"/>
          </a:p>
        </c:txPr>
        <c:crossAx val="215361584"/>
        <c:crossesAt val="0"/>
        <c:auto val="1"/>
        <c:lblAlgn val="ctr"/>
        <c:lblOffset val="100"/>
        <c:noMultiLvlLbl val="0"/>
      </c:catAx>
      <c:valAx>
        <c:axId val="215361584"/>
        <c:scaling>
          <c:orientation val="minMax"/>
          <c:max val="5000"/>
        </c:scaling>
        <c:delete val="0"/>
        <c:axPos val="l"/>
        <c:title>
          <c:tx>
            <c:rich>
              <a:bodyPr rot="-5400000" spcFirstLastPara="1" vertOverflow="ellipsis" vert="horz" wrap="square" anchor="ctr" anchorCtr="1"/>
              <a:lstStyle/>
              <a:p>
                <a:pPr>
                  <a:defRPr sz="1000" b="0" i="0" u="none" strike="noStrike" kern="1200" baseline="0">
                    <a:ln>
                      <a:noFill/>
                    </a:ln>
                    <a:solidFill>
                      <a:schemeClr val="dk1"/>
                    </a:solidFill>
                    <a:latin typeface="+mn-lt"/>
                    <a:ea typeface="+mn-ea"/>
                    <a:cs typeface="+mn-cs"/>
                  </a:defRPr>
                </a:pPr>
                <a:r>
                  <a:rPr lang="en-US"/>
                  <a:t>Grain Size (µm²)</a:t>
                </a:r>
              </a:p>
            </c:rich>
          </c:tx>
          <c:overlay val="0"/>
          <c:spPr>
            <a:noFill/>
            <a:ln>
              <a:noFill/>
            </a:ln>
            <a:effectLst/>
          </c:spPr>
        </c:title>
        <c:numFmt formatCode="0" sourceLinked="0"/>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en-US"/>
          </a:p>
        </c:txPr>
        <c:crossAx val="215360016"/>
        <c:crosses val="autoZero"/>
        <c:crossBetween val="between"/>
        <c:majorUnit val="1000"/>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lt1"/>
    </a:solidFill>
    <a:ln w="25400" cap="flat" cmpd="sng" algn="ctr">
      <a:noFill/>
      <a:prstDash val="solid"/>
      <a:round/>
    </a:ln>
    <a:effectLst/>
  </c:spPr>
  <c:txPr>
    <a:bodyPr/>
    <a:lstStyle/>
    <a:p>
      <a:pPr>
        <a:defRPr>
          <a:ln>
            <a:noFill/>
          </a:ln>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Sheet1!$F$11</c:f>
              <c:strCache>
                <c:ptCount val="1"/>
                <c:pt idx="0">
                  <c:v>Average </c:v>
                </c:pt>
              </c:strCache>
            </c:strRef>
          </c:tx>
          <c:spPr>
            <a:ln w="28575" cap="rnd">
              <a:solidFill>
                <a:srgbClr val="FF0000"/>
              </a:solidFill>
              <a:round/>
            </a:ln>
            <a:effectLst/>
          </c:spPr>
          <c:marker>
            <c:symbol val="circle"/>
            <c:size val="5"/>
            <c:spPr>
              <a:solidFill>
                <a:schemeClr val="tx1"/>
              </a:solidFill>
              <a:ln w="9525">
                <a:solidFill>
                  <a:srgbClr val="FF0000"/>
                </a:solidFill>
              </a:ln>
              <a:effectLst/>
            </c:spPr>
          </c:marker>
          <c:dLbls>
            <c:dLbl>
              <c:idx val="0"/>
              <c:layout>
                <c:manualLayout>
                  <c:x val="-4.5412251951366223E-2"/>
                  <c:y val="-7.92378641105674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92E-4CCE-8C20-27C25A4119E7}"/>
                </c:ext>
                <c:ext xmlns:c15="http://schemas.microsoft.com/office/drawing/2012/chart" uri="{CE6537A1-D6FC-4f65-9D91-7224C49458BB}"/>
              </c:extLst>
            </c:dLbl>
            <c:dLbl>
              <c:idx val="1"/>
              <c:layout>
                <c:manualLayout>
                  <c:x val="-4.5412251951366202E-2"/>
                  <c:y val="-8.37676783132826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92E-4CCE-8C20-27C25A4119E7}"/>
                </c:ext>
                <c:ext xmlns:c15="http://schemas.microsoft.com/office/drawing/2012/chart" uri="{CE6537A1-D6FC-4f65-9D91-7224C49458BB}"/>
              </c:extLst>
            </c:dLbl>
            <c:dLbl>
              <c:idx val="2"/>
              <c:layout>
                <c:manualLayout>
                  <c:x val="-4.8168679473709002E-2"/>
                  <c:y val="-0.1245360061377199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92E-4CCE-8C20-27C25A4119E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Ref>
                <c:f>Sheet1!$I$12:$I$14</c:f>
                <c:numCache>
                  <c:formatCode>General</c:formatCode>
                  <c:ptCount val="3"/>
                  <c:pt idx="0">
                    <c:v>1.1191538219639198E-2</c:v>
                  </c:pt>
                  <c:pt idx="1">
                    <c:v>1.0253884295440595E-2</c:v>
                  </c:pt>
                  <c:pt idx="2">
                    <c:v>3.3708538465806369E-2</c:v>
                  </c:pt>
                </c:numCache>
              </c:numRef>
            </c:plus>
            <c:minus>
              <c:numRef>
                <c:f>Sheet1!$I$12:$I$14</c:f>
                <c:numCache>
                  <c:formatCode>General</c:formatCode>
                  <c:ptCount val="3"/>
                  <c:pt idx="0">
                    <c:v>1.1191538219639198E-2</c:v>
                  </c:pt>
                  <c:pt idx="1">
                    <c:v>1.0253884295440595E-2</c:v>
                  </c:pt>
                  <c:pt idx="2">
                    <c:v>3.3708538465806369E-2</c:v>
                  </c:pt>
                </c:numCache>
              </c:numRef>
            </c:minus>
            <c:spPr>
              <a:noFill/>
              <a:ln w="9525" cap="flat" cmpd="sng" algn="ctr">
                <a:solidFill>
                  <a:schemeClr val="tx1">
                    <a:lumMod val="65000"/>
                    <a:lumOff val="35000"/>
                  </a:schemeClr>
                </a:solidFill>
                <a:round/>
              </a:ln>
              <a:effectLst/>
            </c:spPr>
          </c:errBars>
          <c:cat>
            <c:numRef>
              <c:f>Sheet1!$B$12:$B$14</c:f>
              <c:numCache>
                <c:formatCode>General</c:formatCode>
                <c:ptCount val="3"/>
                <c:pt idx="0">
                  <c:v>1</c:v>
                </c:pt>
                <c:pt idx="1">
                  <c:v>2</c:v>
                </c:pt>
                <c:pt idx="2">
                  <c:v>3</c:v>
                </c:pt>
              </c:numCache>
            </c:numRef>
          </c:cat>
          <c:val>
            <c:numRef>
              <c:f>Sheet1!$F$12:$F$14</c:f>
              <c:numCache>
                <c:formatCode>0.00</c:formatCode>
                <c:ptCount val="3"/>
                <c:pt idx="0">
                  <c:v>0.75011111111111106</c:v>
                </c:pt>
                <c:pt idx="1">
                  <c:v>0.7423333333333334</c:v>
                </c:pt>
                <c:pt idx="2">
                  <c:v>0.7287777780000001</c:v>
                </c:pt>
              </c:numCache>
            </c:numRef>
          </c:val>
          <c:smooth val="0"/>
          <c:extLst xmlns:c16r2="http://schemas.microsoft.com/office/drawing/2015/06/chart">
            <c:ext xmlns:c16="http://schemas.microsoft.com/office/drawing/2014/chart" uri="{C3380CC4-5D6E-409C-BE32-E72D297353CC}">
              <c16:uniqueId val="{00000003-092E-4CCE-8C20-27C25A4119E7}"/>
            </c:ext>
          </c:extLst>
        </c:ser>
        <c:dLbls>
          <c:dLblPos val="t"/>
          <c:showLegendKey val="0"/>
          <c:showVal val="1"/>
          <c:showCatName val="0"/>
          <c:showSerName val="0"/>
          <c:showPercent val="0"/>
          <c:showBubbleSize val="0"/>
        </c:dLbls>
        <c:marker val="1"/>
        <c:smooth val="0"/>
        <c:axId val="78232672"/>
        <c:axId val="78234240"/>
      </c:lineChart>
      <c:catAx>
        <c:axId val="7823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Specimen</a:t>
                </a:r>
              </a:p>
            </c:rich>
          </c:tx>
          <c:overlay val="0"/>
          <c:spPr>
            <a:noFill/>
            <a:ln>
              <a:noFill/>
            </a:ln>
            <a:effectLst/>
          </c:spPr>
        </c:title>
        <c:numFmt formatCode="General" sourceLinked="1"/>
        <c:majorTickMark val="none"/>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234240"/>
        <c:crosses val="autoZero"/>
        <c:auto val="1"/>
        <c:lblAlgn val="ctr"/>
        <c:lblOffset val="100"/>
        <c:noMultiLvlLbl val="0"/>
      </c:catAx>
      <c:valAx>
        <c:axId val="78234240"/>
        <c:scaling>
          <c:orientation val="minMax"/>
          <c:max val="0.9"/>
          <c:min val="0.5"/>
        </c:scaling>
        <c:delete val="0"/>
        <c:axPos val="l"/>
        <c:title>
          <c:tx>
            <c:rich>
              <a:bodyPr rot="-5400000" spcFirstLastPara="1" vertOverflow="ellipsis" vert="horz" wrap="square" anchor="ctr" anchorCtr="1"/>
              <a:lstStyle/>
              <a:p>
                <a:pPr algn="ct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Circularity</a:t>
                </a:r>
              </a:p>
            </c:rich>
          </c:tx>
          <c:layout>
            <c:manualLayout>
              <c:xMode val="edge"/>
              <c:yMode val="edge"/>
              <c:x val="2.3165008019830853E-2"/>
              <c:y val="0.30047812773403326"/>
            </c:manualLayout>
          </c:layout>
          <c:overlay val="0"/>
          <c:spPr>
            <a:solidFill>
              <a:sysClr val="window" lastClr="FFFFFF"/>
            </a:solidFill>
            <a:ln>
              <a:noFill/>
            </a:ln>
            <a:effectLst/>
          </c:spPr>
        </c:title>
        <c:numFmt formatCode="0.00"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32672"/>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Sheet1!$F$19</c:f>
              <c:strCache>
                <c:ptCount val="1"/>
                <c:pt idx="0">
                  <c:v>Average </c:v>
                </c:pt>
              </c:strCache>
            </c:strRef>
          </c:tx>
          <c:spPr>
            <a:ln w="28575" cap="rnd">
              <a:solidFill>
                <a:schemeClr val="accent1"/>
              </a:solidFill>
              <a:round/>
            </a:ln>
            <a:effectLst/>
          </c:spPr>
          <c:marker>
            <c:symbol val="circle"/>
            <c:size val="5"/>
            <c:spPr>
              <a:solidFill>
                <a:schemeClr val="tx1"/>
              </a:solidFill>
              <a:ln w="9525">
                <a:solidFill>
                  <a:schemeClr val="accent1"/>
                </a:solidFill>
              </a:ln>
              <a:effectLst/>
            </c:spPr>
          </c:marker>
          <c:dLbls>
            <c:dLbl>
              <c:idx val="2"/>
              <c:layout>
                <c:manualLayout>
                  <c:x val="-4.5763998250218825E-2"/>
                  <c:y val="-9.02431466899970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D9-43AE-AEEF-E51D615250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cust"/>
            <c:noEndCap val="0"/>
            <c:plus>
              <c:numRef>
                <c:f>Sheet1!$I$20:$I$22</c:f>
                <c:numCache>
                  <c:formatCode>General</c:formatCode>
                  <c:ptCount val="3"/>
                  <c:pt idx="0">
                    <c:v>5.0229794077795787E-3</c:v>
                  </c:pt>
                  <c:pt idx="1">
                    <c:v>3.6047316712834919E-2</c:v>
                  </c:pt>
                  <c:pt idx="2">
                    <c:v>0.13394361940352048</c:v>
                  </c:pt>
                </c:numCache>
              </c:numRef>
            </c:plus>
            <c:minus>
              <c:numRef>
                <c:f>Sheet1!$I$20:$I$22</c:f>
                <c:numCache>
                  <c:formatCode>General</c:formatCode>
                  <c:ptCount val="3"/>
                  <c:pt idx="0">
                    <c:v>5.0229794077795787E-3</c:v>
                  </c:pt>
                  <c:pt idx="1">
                    <c:v>3.6047316712834919E-2</c:v>
                  </c:pt>
                  <c:pt idx="2">
                    <c:v>0.13394361940352048</c:v>
                  </c:pt>
                </c:numCache>
              </c:numRef>
            </c:minus>
            <c:spPr>
              <a:noFill/>
              <a:ln w="9525" cap="flat" cmpd="sng" algn="ctr">
                <a:solidFill>
                  <a:schemeClr val="tx1">
                    <a:lumMod val="65000"/>
                    <a:lumOff val="35000"/>
                  </a:schemeClr>
                </a:solidFill>
                <a:round/>
              </a:ln>
              <a:effectLst/>
            </c:spPr>
          </c:errBars>
          <c:cat>
            <c:numRef>
              <c:f>Sheet1!$B$20:$B$22</c:f>
              <c:numCache>
                <c:formatCode>General</c:formatCode>
                <c:ptCount val="3"/>
                <c:pt idx="0">
                  <c:v>1</c:v>
                </c:pt>
                <c:pt idx="1">
                  <c:v>2</c:v>
                </c:pt>
                <c:pt idx="2">
                  <c:v>3</c:v>
                </c:pt>
              </c:numCache>
            </c:numRef>
          </c:cat>
          <c:val>
            <c:numRef>
              <c:f>Sheet1!$F$20:$F$22</c:f>
              <c:numCache>
                <c:formatCode>0.00</c:formatCode>
                <c:ptCount val="3"/>
                <c:pt idx="0">
                  <c:v>1.3441111111111113</c:v>
                </c:pt>
                <c:pt idx="1">
                  <c:v>1.3470000000000002</c:v>
                </c:pt>
                <c:pt idx="2">
                  <c:v>1.3230000000000002</c:v>
                </c:pt>
              </c:numCache>
            </c:numRef>
          </c:val>
          <c:smooth val="0"/>
          <c:extLst xmlns:c16r2="http://schemas.microsoft.com/office/drawing/2015/06/chart">
            <c:ext xmlns:c16="http://schemas.microsoft.com/office/drawing/2014/chart" uri="{C3380CC4-5D6E-409C-BE32-E72D297353CC}">
              <c16:uniqueId val="{00000001-86D9-43AE-AEEF-E51D61525013}"/>
            </c:ext>
          </c:extLst>
        </c:ser>
        <c:dLbls>
          <c:dLblPos val="t"/>
          <c:showLegendKey val="0"/>
          <c:showVal val="1"/>
          <c:showCatName val="0"/>
          <c:showSerName val="0"/>
          <c:showPercent val="0"/>
          <c:showBubbleSize val="0"/>
        </c:dLbls>
        <c:marker val="1"/>
        <c:smooth val="0"/>
        <c:axId val="78231104"/>
        <c:axId val="212490712"/>
      </c:lineChart>
      <c:catAx>
        <c:axId val="78231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Sample</a:t>
                </a:r>
              </a:p>
            </c:rich>
          </c:tx>
          <c:overlay val="0"/>
          <c:spPr>
            <a:noFill/>
            <a:ln>
              <a:noFill/>
            </a:ln>
            <a:effectLst/>
          </c:spPr>
        </c:title>
        <c:numFmt formatCode="General" sourceLinked="1"/>
        <c:majorTickMark val="none"/>
        <c:minorTickMark val="in"/>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2490712"/>
        <c:crosses val="autoZero"/>
        <c:auto val="1"/>
        <c:lblAlgn val="ctr"/>
        <c:lblOffset val="100"/>
        <c:noMultiLvlLbl val="0"/>
      </c:catAx>
      <c:valAx>
        <c:axId val="21249071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Aspect Ratio</a:t>
                </a:r>
                <a:endParaRPr lang="en-US" sz="1000">
                  <a:effectLst/>
                </a:endParaRPr>
              </a:p>
            </c:rich>
          </c:tx>
          <c:layout>
            <c:manualLayout>
              <c:xMode val="edge"/>
              <c:yMode val="edge"/>
              <c:x val="1.7361111111111112E-2"/>
              <c:y val="0.24626859142607174"/>
            </c:manualLayout>
          </c:layout>
          <c:overlay val="0"/>
          <c:spPr>
            <a:noFill/>
            <a:ln>
              <a:noFill/>
            </a:ln>
            <a:effectLst/>
          </c:spPr>
        </c:title>
        <c:numFmt formatCode="0.00" sourceLinked="1"/>
        <c:majorTickMark val="in"/>
        <c:minorTickMark val="none"/>
        <c:tickLblPos val="nextTo"/>
        <c:spPr>
          <a:noFill/>
          <a:ln>
            <a:solidFill>
              <a:schemeClr val="dk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31104"/>
        <c:crosses val="autoZero"/>
        <c:crossBetween val="between"/>
      </c:valAx>
      <c:spPr>
        <a:solidFill>
          <a:schemeClr val="lt1"/>
        </a:solidFill>
        <a:ln w="1270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AFB39-49AC-449D-92B4-227D3981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TotalTime>
  <Pages>10</Pages>
  <Words>11546</Words>
  <Characters>65816</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77208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Library</cp:lastModifiedBy>
  <cp:revision>2</cp:revision>
  <cp:lastPrinted>2005-02-25T09:52:00Z</cp:lastPrinted>
  <dcterms:created xsi:type="dcterms:W3CDTF">2021-02-23T04:41:00Z</dcterms:created>
  <dcterms:modified xsi:type="dcterms:W3CDTF">2021-02-23T04:41:00Z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e309e169-84d1-3715-bc66-942c418b8809</vt:lpwstr>
  </property>
  <property fmtid="{D5CDD505-2E9C-101B-9397-08002B2CF9AE}" pid="24" name="Mendeley Citation Style_1">
    <vt:lpwstr>http://www.zotero.org/styles/ieee</vt:lpwstr>
  </property>
</Properties>
</file>