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2AD" w:rsidRDefault="0044733B" w:rsidP="0044733B">
      <w:pPr>
        <w:jc w:val="both"/>
        <w:rPr>
          <w:rFonts w:ascii="Arial" w:hAnsi="Arial" w:cs="Arial"/>
          <w:sz w:val="24"/>
          <w:szCs w:val="24"/>
        </w:rPr>
      </w:pPr>
      <w:r w:rsidRPr="0044733B">
        <w:rPr>
          <w:rFonts w:ascii="Arial" w:hAnsi="Arial" w:cs="Arial"/>
          <w:sz w:val="24"/>
          <w:szCs w:val="24"/>
        </w:rPr>
        <w:t>Mapping the human genetic architecture of COVID-19</w:t>
      </w:r>
      <w:r w:rsidR="00AE46F4">
        <w:rPr>
          <w:rFonts w:ascii="Arial" w:hAnsi="Arial" w:cs="Arial"/>
          <w:sz w:val="24"/>
          <w:szCs w:val="24"/>
        </w:rPr>
        <w:t xml:space="preserve"> </w:t>
      </w:r>
    </w:p>
    <w:p w:rsidR="0044733B" w:rsidRPr="0044733B" w:rsidRDefault="0044733B" w:rsidP="0044733B">
      <w:pPr>
        <w:jc w:val="both"/>
        <w:rPr>
          <w:rFonts w:ascii="Arial" w:hAnsi="Arial" w:cs="Arial"/>
          <w:sz w:val="24"/>
          <w:szCs w:val="24"/>
        </w:rPr>
      </w:pPr>
      <w:bookmarkStart w:id="0" w:name="_GoBack"/>
      <w:bookmarkEnd w:id="0"/>
      <w:r w:rsidRPr="0044733B">
        <w:rPr>
          <w:rFonts w:ascii="Arial" w:hAnsi="Arial" w:cs="Arial"/>
          <w:sz w:val="24"/>
          <w:szCs w:val="24"/>
        </w:rPr>
        <w:t>COVID-19 Host Genetics Initiative</w:t>
      </w:r>
    </w:p>
    <w:p w:rsidR="0044733B" w:rsidRPr="0044733B" w:rsidRDefault="0044733B" w:rsidP="0044733B">
      <w:pPr>
        <w:jc w:val="both"/>
        <w:rPr>
          <w:rFonts w:ascii="Arial" w:hAnsi="Arial" w:cs="Arial"/>
          <w:sz w:val="24"/>
          <w:szCs w:val="24"/>
        </w:rPr>
      </w:pPr>
      <w:r w:rsidRPr="0044733B">
        <w:rPr>
          <w:rFonts w:ascii="Arial" w:hAnsi="Arial" w:cs="Arial"/>
          <w:sz w:val="24"/>
          <w:szCs w:val="24"/>
        </w:rPr>
        <w:t>Nature volume 600, pages472–477 (2021)</w:t>
      </w:r>
    </w:p>
    <w:p w:rsidR="0044733B" w:rsidRPr="0044733B" w:rsidRDefault="0044733B" w:rsidP="0044733B">
      <w:pPr>
        <w:jc w:val="both"/>
        <w:rPr>
          <w:rFonts w:ascii="Arial" w:hAnsi="Arial" w:cs="Arial"/>
          <w:sz w:val="24"/>
          <w:szCs w:val="24"/>
        </w:rPr>
      </w:pPr>
      <w:proofErr w:type="gramStart"/>
      <w:r w:rsidRPr="0044733B">
        <w:rPr>
          <w:rFonts w:ascii="Arial" w:hAnsi="Arial" w:cs="Arial"/>
          <w:sz w:val="24"/>
          <w:szCs w:val="24"/>
        </w:rPr>
        <w:t>Author :</w:t>
      </w:r>
      <w:proofErr w:type="gramEnd"/>
      <w:r w:rsidRPr="0044733B">
        <w:rPr>
          <w:rFonts w:ascii="Arial" w:hAnsi="Arial" w:cs="Arial"/>
          <w:sz w:val="24"/>
          <w:szCs w:val="24"/>
        </w:rPr>
        <w:t xml:space="preserve"> Dr. Hajar </w:t>
      </w:r>
      <w:proofErr w:type="spellStart"/>
      <w:r w:rsidRPr="0044733B">
        <w:rPr>
          <w:rFonts w:ascii="Arial" w:hAnsi="Arial" w:cs="Arial"/>
          <w:sz w:val="24"/>
          <w:szCs w:val="24"/>
        </w:rPr>
        <w:t>Fauzan</w:t>
      </w:r>
      <w:proofErr w:type="spellEnd"/>
      <w:r w:rsidRPr="0044733B">
        <w:rPr>
          <w:rFonts w:ascii="Arial" w:hAnsi="Arial" w:cs="Arial"/>
          <w:sz w:val="24"/>
          <w:szCs w:val="24"/>
        </w:rPr>
        <w:t xml:space="preserve"> Bin Ahmad</w:t>
      </w:r>
    </w:p>
    <w:p w:rsidR="0044733B" w:rsidRPr="0044733B" w:rsidRDefault="0044733B" w:rsidP="0044733B">
      <w:pPr>
        <w:jc w:val="both"/>
        <w:rPr>
          <w:rFonts w:ascii="Arial" w:hAnsi="Arial" w:cs="Arial"/>
          <w:sz w:val="24"/>
          <w:szCs w:val="24"/>
        </w:rPr>
      </w:pPr>
    </w:p>
    <w:p w:rsidR="0044733B" w:rsidRPr="0044733B" w:rsidRDefault="0044733B" w:rsidP="0044733B">
      <w:pPr>
        <w:jc w:val="both"/>
        <w:rPr>
          <w:rFonts w:ascii="Arial" w:hAnsi="Arial" w:cs="Arial"/>
          <w:sz w:val="24"/>
          <w:szCs w:val="24"/>
        </w:rPr>
      </w:pPr>
      <w:r w:rsidRPr="0044733B">
        <w:rPr>
          <w:rFonts w:ascii="Arial" w:hAnsi="Arial" w:cs="Arial"/>
          <w:sz w:val="24"/>
          <w:szCs w:val="24"/>
        </w:rPr>
        <w:t xml:space="preserve"> </w:t>
      </w:r>
    </w:p>
    <w:p w:rsidR="0044733B" w:rsidRPr="0044733B" w:rsidRDefault="0044733B" w:rsidP="0044733B">
      <w:pPr>
        <w:spacing w:after="0" w:line="360" w:lineRule="auto"/>
        <w:jc w:val="both"/>
        <w:rPr>
          <w:rFonts w:ascii="Arial" w:hAnsi="Arial" w:cs="Arial"/>
          <w:sz w:val="24"/>
          <w:szCs w:val="24"/>
        </w:rPr>
      </w:pPr>
      <w:r w:rsidRPr="0044733B">
        <w:rPr>
          <w:rFonts w:ascii="Arial" w:hAnsi="Arial" w:cs="Arial"/>
          <w:sz w:val="24"/>
          <w:szCs w:val="24"/>
        </w:rPr>
        <w:t>Abstract</w:t>
      </w:r>
    </w:p>
    <w:p w:rsidR="0044733B" w:rsidRDefault="0044733B" w:rsidP="0044733B">
      <w:pPr>
        <w:spacing w:after="0" w:line="360" w:lineRule="auto"/>
        <w:jc w:val="both"/>
        <w:rPr>
          <w:rFonts w:ascii="Arial" w:hAnsi="Arial" w:cs="Arial"/>
          <w:sz w:val="24"/>
          <w:szCs w:val="24"/>
        </w:rPr>
      </w:pPr>
      <w:r w:rsidRPr="0044733B">
        <w:rPr>
          <w:rFonts w:ascii="Arial" w:hAnsi="Arial" w:cs="Arial"/>
          <w:sz w:val="24"/>
          <w:szCs w:val="24"/>
        </w:rPr>
        <w:t>The genetic make-up of an individual contributes to the susceptibility and response to viral infection. Although environmental, clinical and social factors have a role in the chance of exposure to SARS-CoV-2 and the severity of COVID-191,2, host genetics may also be important. Identifying host-specific genetic factors may reveal biological mechanisms of therapeutic relevance and clarify causal relationships of modifiable environmental risk factors for SARS-CoV-2 infection and outcomes. We formed a global network of researchers to investigate the role of human genetics in SARS-CoV-2 infection and COVID-19 severity. Here we describe the results of three genome-wide association meta-analyses that consist of up to 49,562 patients with COVID-19 from 46 studies across 19 countries. We report 13 genome-wide significant loci that are associated with SARS-CoV-2 infection or severe manifestations of COVID-19. Several of these loci correspond to previously documented associations to lung or autoimmune and inflammatory diseases3,4,5,6,7. They also represent potentially actionable mechanisms in response to infection. Mendelian randomization analyses support a causal role for smoking and body-mass index for severe COVID-19 although not for type II diabetes. The identification of novel host genetic factors associated with COVID-19 was made possible by the community of human genetics researchers coming together to prioritize the sharing of data, results, resources and analytical frameworks. This working model of international collaboration underscores what is possible for future genetic discoveries in emerging pandemics, or indeed for any complex human disease</w:t>
      </w:r>
    </w:p>
    <w:p w:rsidR="0044733B" w:rsidRDefault="0044733B" w:rsidP="0044733B">
      <w:pPr>
        <w:spacing w:after="0" w:line="360" w:lineRule="auto"/>
        <w:jc w:val="both"/>
        <w:rPr>
          <w:rFonts w:ascii="Arial" w:hAnsi="Arial" w:cs="Arial"/>
          <w:sz w:val="24"/>
          <w:szCs w:val="24"/>
        </w:rPr>
      </w:pPr>
    </w:p>
    <w:p w:rsidR="0044733B" w:rsidRDefault="0044733B" w:rsidP="0044733B">
      <w:pPr>
        <w:spacing w:after="0" w:line="360" w:lineRule="auto"/>
        <w:jc w:val="both"/>
        <w:rPr>
          <w:rFonts w:ascii="Arial" w:hAnsi="Arial" w:cs="Arial"/>
          <w:sz w:val="24"/>
          <w:szCs w:val="24"/>
        </w:rPr>
      </w:pPr>
    </w:p>
    <w:p w:rsidR="0044733B" w:rsidRPr="0044733B" w:rsidRDefault="0044733B" w:rsidP="0044733B">
      <w:pPr>
        <w:spacing w:after="0" w:line="360" w:lineRule="auto"/>
        <w:jc w:val="both"/>
        <w:rPr>
          <w:rFonts w:ascii="Arial" w:hAnsi="Arial" w:cs="Arial"/>
          <w:sz w:val="24"/>
          <w:szCs w:val="24"/>
        </w:rPr>
      </w:pPr>
      <w:r w:rsidRPr="0044733B">
        <w:rPr>
          <w:rFonts w:ascii="Arial" w:hAnsi="Arial" w:cs="Arial"/>
          <w:sz w:val="24"/>
          <w:szCs w:val="24"/>
        </w:rPr>
        <w:t>https://doi.org/10.1038/s41586-021-03767-x</w:t>
      </w:r>
    </w:p>
    <w:p w:rsidR="0044733B" w:rsidRPr="0044733B" w:rsidRDefault="0044733B" w:rsidP="0044733B">
      <w:pPr>
        <w:spacing w:after="0" w:line="360" w:lineRule="auto"/>
        <w:jc w:val="both"/>
        <w:rPr>
          <w:sz w:val="24"/>
          <w:szCs w:val="24"/>
        </w:rPr>
      </w:pPr>
    </w:p>
    <w:p w:rsidR="0044733B" w:rsidRPr="0044733B" w:rsidRDefault="0044733B" w:rsidP="0044733B">
      <w:pPr>
        <w:jc w:val="both"/>
        <w:rPr>
          <w:sz w:val="24"/>
          <w:szCs w:val="24"/>
        </w:rPr>
      </w:pPr>
    </w:p>
    <w:p w:rsidR="0044733B" w:rsidRPr="0044733B" w:rsidRDefault="0044733B" w:rsidP="0044733B">
      <w:pPr>
        <w:jc w:val="both"/>
        <w:rPr>
          <w:rFonts w:ascii="Arial" w:hAnsi="Arial" w:cs="Arial"/>
          <w:b/>
          <w:bCs/>
          <w:sz w:val="24"/>
          <w:szCs w:val="24"/>
        </w:rPr>
      </w:pPr>
      <w:r w:rsidRPr="0044733B">
        <w:rPr>
          <w:rFonts w:ascii="Arial" w:hAnsi="Arial" w:cs="Arial"/>
          <w:b/>
          <w:bCs/>
          <w:sz w:val="24"/>
          <w:szCs w:val="24"/>
        </w:rPr>
        <w:t>References</w:t>
      </w:r>
    </w:p>
    <w:p w:rsidR="0044733B" w:rsidRPr="0044733B" w:rsidRDefault="0044733B" w:rsidP="0044733B">
      <w:pPr>
        <w:numPr>
          <w:ilvl w:val="0"/>
          <w:numId w:val="1"/>
        </w:numPr>
        <w:jc w:val="both"/>
        <w:rPr>
          <w:rFonts w:ascii="Arial" w:hAnsi="Arial" w:cs="Arial"/>
          <w:sz w:val="24"/>
          <w:szCs w:val="24"/>
        </w:rPr>
      </w:pPr>
      <w:r w:rsidRPr="0044733B">
        <w:rPr>
          <w:rFonts w:ascii="Arial" w:hAnsi="Arial" w:cs="Arial"/>
          <w:sz w:val="24"/>
          <w:szCs w:val="24"/>
        </w:rPr>
        <w:t xml:space="preserve">Docherty, A. B. et al. Features of 20 133 UK patients in hospital with COVID-19 using the ISARIC WHO Clinical </w:t>
      </w:r>
      <w:proofErr w:type="spellStart"/>
      <w:r w:rsidRPr="0044733B">
        <w:rPr>
          <w:rFonts w:ascii="Arial" w:hAnsi="Arial" w:cs="Arial"/>
          <w:sz w:val="24"/>
          <w:szCs w:val="24"/>
        </w:rPr>
        <w:t>Characterisation</w:t>
      </w:r>
      <w:proofErr w:type="spellEnd"/>
      <w:r w:rsidRPr="0044733B">
        <w:rPr>
          <w:rFonts w:ascii="Arial" w:hAnsi="Arial" w:cs="Arial"/>
          <w:sz w:val="24"/>
          <w:szCs w:val="24"/>
        </w:rPr>
        <w:t xml:space="preserve"> Protocol: prospective observational cohort study. </w:t>
      </w:r>
      <w:r w:rsidRPr="0044733B">
        <w:rPr>
          <w:rFonts w:ascii="Arial" w:hAnsi="Arial" w:cs="Arial"/>
          <w:i/>
          <w:iCs/>
          <w:sz w:val="24"/>
          <w:szCs w:val="24"/>
        </w:rPr>
        <w:t>Br. Med. J</w:t>
      </w:r>
      <w:r w:rsidRPr="0044733B">
        <w:rPr>
          <w:rFonts w:ascii="Arial" w:hAnsi="Arial" w:cs="Arial"/>
          <w:sz w:val="24"/>
          <w:szCs w:val="24"/>
        </w:rPr>
        <w:t>. </w:t>
      </w:r>
      <w:r w:rsidRPr="0044733B">
        <w:rPr>
          <w:rFonts w:ascii="Arial" w:hAnsi="Arial" w:cs="Arial"/>
          <w:b/>
          <w:bCs/>
          <w:sz w:val="24"/>
          <w:szCs w:val="24"/>
        </w:rPr>
        <w:t>369</w:t>
      </w:r>
      <w:r w:rsidRPr="0044733B">
        <w:rPr>
          <w:rFonts w:ascii="Arial" w:hAnsi="Arial" w:cs="Arial"/>
          <w:sz w:val="24"/>
          <w:szCs w:val="24"/>
        </w:rPr>
        <w:t>, m1985 (2020).</w:t>
      </w:r>
    </w:p>
    <w:p w:rsidR="0044733B" w:rsidRPr="0044733B" w:rsidRDefault="0044733B" w:rsidP="0044733B">
      <w:pPr>
        <w:jc w:val="both"/>
        <w:rPr>
          <w:rFonts w:ascii="Arial" w:hAnsi="Arial" w:cs="Arial"/>
          <w:sz w:val="24"/>
          <w:szCs w:val="24"/>
        </w:rPr>
      </w:pPr>
      <w:hyperlink r:id="rId5" w:history="1">
        <w:r w:rsidRPr="0044733B">
          <w:rPr>
            <w:rStyle w:val="Hyperlink"/>
            <w:rFonts w:ascii="Arial" w:hAnsi="Arial" w:cs="Arial"/>
            <w:sz w:val="24"/>
            <w:szCs w:val="24"/>
          </w:rPr>
          <w:t>Google Scholar</w:t>
        </w:r>
      </w:hyperlink>
      <w:r w:rsidRPr="0044733B">
        <w:rPr>
          <w:rFonts w:ascii="Arial" w:hAnsi="Arial" w:cs="Arial"/>
          <w:sz w:val="24"/>
          <w:szCs w:val="24"/>
        </w:rPr>
        <w:t> </w:t>
      </w:r>
    </w:p>
    <w:p w:rsidR="0044733B" w:rsidRPr="0044733B" w:rsidRDefault="0044733B" w:rsidP="0044733B">
      <w:pPr>
        <w:numPr>
          <w:ilvl w:val="0"/>
          <w:numId w:val="1"/>
        </w:numPr>
        <w:jc w:val="both"/>
        <w:rPr>
          <w:rFonts w:ascii="Arial" w:hAnsi="Arial" w:cs="Arial"/>
          <w:sz w:val="24"/>
          <w:szCs w:val="24"/>
        </w:rPr>
      </w:pPr>
      <w:r w:rsidRPr="0044733B">
        <w:rPr>
          <w:rFonts w:ascii="Arial" w:hAnsi="Arial" w:cs="Arial"/>
          <w:sz w:val="24"/>
          <w:szCs w:val="24"/>
        </w:rPr>
        <w:t>Zhou, F. et al. Clinical course and risk factors for mortality of adult inpatients with COVID-19 in Wuhan, China: a retrospective cohort study. </w:t>
      </w:r>
      <w:r w:rsidRPr="0044733B">
        <w:rPr>
          <w:rFonts w:ascii="Arial" w:hAnsi="Arial" w:cs="Arial"/>
          <w:i/>
          <w:iCs/>
          <w:sz w:val="24"/>
          <w:szCs w:val="24"/>
        </w:rPr>
        <w:t>Lancet</w:t>
      </w:r>
      <w:r w:rsidRPr="0044733B">
        <w:rPr>
          <w:rFonts w:ascii="Arial" w:hAnsi="Arial" w:cs="Arial"/>
          <w:sz w:val="24"/>
          <w:szCs w:val="24"/>
        </w:rPr>
        <w:t> </w:t>
      </w:r>
      <w:r w:rsidRPr="0044733B">
        <w:rPr>
          <w:rFonts w:ascii="Arial" w:hAnsi="Arial" w:cs="Arial"/>
          <w:b/>
          <w:bCs/>
          <w:sz w:val="24"/>
          <w:szCs w:val="24"/>
        </w:rPr>
        <w:t>395</w:t>
      </w:r>
      <w:r w:rsidRPr="0044733B">
        <w:rPr>
          <w:rFonts w:ascii="Arial" w:hAnsi="Arial" w:cs="Arial"/>
          <w:sz w:val="24"/>
          <w:szCs w:val="24"/>
        </w:rPr>
        <w:t>, 1054–1062 (2020).</w:t>
      </w:r>
    </w:p>
    <w:p w:rsidR="0044733B" w:rsidRPr="0044733B" w:rsidRDefault="0044733B" w:rsidP="0044733B">
      <w:pPr>
        <w:jc w:val="both"/>
        <w:rPr>
          <w:rFonts w:ascii="Arial" w:hAnsi="Arial" w:cs="Arial"/>
          <w:sz w:val="24"/>
          <w:szCs w:val="24"/>
        </w:rPr>
      </w:pPr>
      <w:hyperlink r:id="rId6" w:history="1">
        <w:r w:rsidRPr="0044733B">
          <w:rPr>
            <w:rStyle w:val="Hyperlink"/>
            <w:rFonts w:ascii="Arial" w:hAnsi="Arial" w:cs="Arial"/>
            <w:sz w:val="24"/>
            <w:szCs w:val="24"/>
          </w:rPr>
          <w:t>CAS</w:t>
        </w:r>
      </w:hyperlink>
      <w:r w:rsidRPr="0044733B">
        <w:rPr>
          <w:rFonts w:ascii="Arial" w:hAnsi="Arial" w:cs="Arial"/>
          <w:sz w:val="24"/>
          <w:szCs w:val="24"/>
        </w:rPr>
        <w:t>  </w:t>
      </w:r>
      <w:hyperlink r:id="rId7" w:history="1">
        <w:r w:rsidRPr="0044733B">
          <w:rPr>
            <w:rStyle w:val="Hyperlink"/>
            <w:rFonts w:ascii="Arial" w:hAnsi="Arial" w:cs="Arial"/>
            <w:sz w:val="24"/>
            <w:szCs w:val="24"/>
          </w:rPr>
          <w:t>PubMed</w:t>
        </w:r>
      </w:hyperlink>
      <w:r w:rsidRPr="0044733B">
        <w:rPr>
          <w:rFonts w:ascii="Arial" w:hAnsi="Arial" w:cs="Arial"/>
          <w:sz w:val="24"/>
          <w:szCs w:val="24"/>
        </w:rPr>
        <w:t>  </w:t>
      </w:r>
      <w:proofErr w:type="spellStart"/>
      <w:r w:rsidRPr="0044733B">
        <w:rPr>
          <w:rFonts w:ascii="Arial" w:hAnsi="Arial" w:cs="Arial"/>
          <w:sz w:val="24"/>
          <w:szCs w:val="24"/>
        </w:rPr>
        <w:fldChar w:fldCharType="begin"/>
      </w:r>
      <w:r w:rsidRPr="0044733B">
        <w:rPr>
          <w:rFonts w:ascii="Arial" w:hAnsi="Arial" w:cs="Arial"/>
          <w:sz w:val="24"/>
          <w:szCs w:val="24"/>
        </w:rPr>
        <w:instrText xml:space="preserve"> HYPERLINK "http://www.ncbi.nlm.nih.gov/pmc/articles/PMC32171076" </w:instrText>
      </w:r>
      <w:r w:rsidRPr="0044733B">
        <w:rPr>
          <w:rFonts w:ascii="Arial" w:hAnsi="Arial" w:cs="Arial"/>
          <w:sz w:val="24"/>
          <w:szCs w:val="24"/>
        </w:rPr>
        <w:fldChar w:fldCharType="separate"/>
      </w:r>
      <w:r w:rsidRPr="0044733B">
        <w:rPr>
          <w:rStyle w:val="Hyperlink"/>
          <w:rFonts w:ascii="Arial" w:hAnsi="Arial" w:cs="Arial"/>
          <w:sz w:val="24"/>
          <w:szCs w:val="24"/>
        </w:rPr>
        <w:t>PubMed</w:t>
      </w:r>
      <w:proofErr w:type="spellEnd"/>
      <w:r w:rsidRPr="0044733B">
        <w:rPr>
          <w:rStyle w:val="Hyperlink"/>
          <w:rFonts w:ascii="Arial" w:hAnsi="Arial" w:cs="Arial"/>
          <w:sz w:val="24"/>
          <w:szCs w:val="24"/>
        </w:rPr>
        <w:t xml:space="preserve"> Central</w:t>
      </w:r>
      <w:r w:rsidRPr="0044733B">
        <w:rPr>
          <w:rFonts w:ascii="Arial" w:hAnsi="Arial" w:cs="Arial"/>
          <w:sz w:val="24"/>
          <w:szCs w:val="24"/>
        </w:rPr>
        <w:fldChar w:fldCharType="end"/>
      </w:r>
      <w:r w:rsidRPr="0044733B">
        <w:rPr>
          <w:rFonts w:ascii="Arial" w:hAnsi="Arial" w:cs="Arial"/>
          <w:sz w:val="24"/>
          <w:szCs w:val="24"/>
        </w:rPr>
        <w:t>  </w:t>
      </w:r>
      <w:hyperlink r:id="rId8" w:history="1">
        <w:r w:rsidRPr="0044733B">
          <w:rPr>
            <w:rStyle w:val="Hyperlink"/>
            <w:rFonts w:ascii="Arial" w:hAnsi="Arial" w:cs="Arial"/>
            <w:sz w:val="24"/>
            <w:szCs w:val="24"/>
          </w:rPr>
          <w:t>Google Scholar</w:t>
        </w:r>
      </w:hyperlink>
      <w:r w:rsidRPr="0044733B">
        <w:rPr>
          <w:rFonts w:ascii="Arial" w:hAnsi="Arial" w:cs="Arial"/>
          <w:sz w:val="24"/>
          <w:szCs w:val="24"/>
        </w:rPr>
        <w:t> </w:t>
      </w:r>
    </w:p>
    <w:p w:rsidR="0044733B" w:rsidRPr="0044733B" w:rsidRDefault="0044733B" w:rsidP="0044733B">
      <w:pPr>
        <w:numPr>
          <w:ilvl w:val="0"/>
          <w:numId w:val="1"/>
        </w:numPr>
        <w:jc w:val="both"/>
        <w:rPr>
          <w:rFonts w:ascii="Arial" w:hAnsi="Arial" w:cs="Arial"/>
          <w:sz w:val="24"/>
          <w:szCs w:val="24"/>
        </w:rPr>
      </w:pPr>
      <w:proofErr w:type="spellStart"/>
      <w:r w:rsidRPr="0044733B">
        <w:rPr>
          <w:rFonts w:ascii="Arial" w:hAnsi="Arial" w:cs="Arial"/>
          <w:sz w:val="24"/>
          <w:szCs w:val="24"/>
        </w:rPr>
        <w:t>Dendrou</w:t>
      </w:r>
      <w:proofErr w:type="spellEnd"/>
      <w:r w:rsidRPr="0044733B">
        <w:rPr>
          <w:rFonts w:ascii="Arial" w:hAnsi="Arial" w:cs="Arial"/>
          <w:sz w:val="24"/>
          <w:szCs w:val="24"/>
        </w:rPr>
        <w:t>, C. A. et al. Resolving </w:t>
      </w:r>
      <w:r w:rsidRPr="0044733B">
        <w:rPr>
          <w:rFonts w:ascii="Arial" w:hAnsi="Arial" w:cs="Arial"/>
          <w:i/>
          <w:iCs/>
          <w:sz w:val="24"/>
          <w:szCs w:val="24"/>
        </w:rPr>
        <w:t>TYK2</w:t>
      </w:r>
      <w:r w:rsidRPr="0044733B">
        <w:rPr>
          <w:rFonts w:ascii="Arial" w:hAnsi="Arial" w:cs="Arial"/>
          <w:sz w:val="24"/>
          <w:szCs w:val="24"/>
        </w:rPr>
        <w:t> locus genotype-to-phenotype differences in autoimmunity. </w:t>
      </w:r>
      <w:r w:rsidRPr="0044733B">
        <w:rPr>
          <w:rFonts w:ascii="Arial" w:hAnsi="Arial" w:cs="Arial"/>
          <w:i/>
          <w:iCs/>
          <w:sz w:val="24"/>
          <w:szCs w:val="24"/>
        </w:rPr>
        <w:t>Sci. Transl. Med</w:t>
      </w:r>
      <w:r w:rsidRPr="0044733B">
        <w:rPr>
          <w:rFonts w:ascii="Arial" w:hAnsi="Arial" w:cs="Arial"/>
          <w:sz w:val="24"/>
          <w:szCs w:val="24"/>
        </w:rPr>
        <w:t>. </w:t>
      </w:r>
      <w:r w:rsidRPr="0044733B">
        <w:rPr>
          <w:rFonts w:ascii="Arial" w:hAnsi="Arial" w:cs="Arial"/>
          <w:b/>
          <w:bCs/>
          <w:sz w:val="24"/>
          <w:szCs w:val="24"/>
        </w:rPr>
        <w:t>8</w:t>
      </w:r>
      <w:r w:rsidRPr="0044733B">
        <w:rPr>
          <w:rFonts w:ascii="Arial" w:hAnsi="Arial" w:cs="Arial"/>
          <w:sz w:val="24"/>
          <w:szCs w:val="24"/>
        </w:rPr>
        <w:t>, 363ra149 (2016).</w:t>
      </w:r>
    </w:p>
    <w:p w:rsidR="0044733B" w:rsidRPr="0044733B" w:rsidRDefault="0044733B" w:rsidP="0044733B">
      <w:pPr>
        <w:jc w:val="both"/>
        <w:rPr>
          <w:rFonts w:ascii="Arial" w:hAnsi="Arial" w:cs="Arial"/>
          <w:sz w:val="24"/>
          <w:szCs w:val="24"/>
        </w:rPr>
      </w:pPr>
      <w:hyperlink r:id="rId9" w:history="1">
        <w:r w:rsidRPr="0044733B">
          <w:rPr>
            <w:rStyle w:val="Hyperlink"/>
            <w:rFonts w:ascii="Arial" w:hAnsi="Arial" w:cs="Arial"/>
            <w:sz w:val="24"/>
            <w:szCs w:val="24"/>
          </w:rPr>
          <w:t>PubMed</w:t>
        </w:r>
      </w:hyperlink>
      <w:r w:rsidRPr="0044733B">
        <w:rPr>
          <w:rFonts w:ascii="Arial" w:hAnsi="Arial" w:cs="Arial"/>
          <w:sz w:val="24"/>
          <w:szCs w:val="24"/>
        </w:rPr>
        <w:t>  </w:t>
      </w:r>
      <w:proofErr w:type="spellStart"/>
      <w:r w:rsidRPr="0044733B">
        <w:rPr>
          <w:rFonts w:ascii="Arial" w:hAnsi="Arial" w:cs="Arial"/>
          <w:sz w:val="24"/>
          <w:szCs w:val="24"/>
        </w:rPr>
        <w:fldChar w:fldCharType="begin"/>
      </w:r>
      <w:r w:rsidRPr="0044733B">
        <w:rPr>
          <w:rFonts w:ascii="Arial" w:hAnsi="Arial" w:cs="Arial"/>
          <w:sz w:val="24"/>
          <w:szCs w:val="24"/>
        </w:rPr>
        <w:instrText xml:space="preserve"> HYPERLINK "http://www.ncbi.nlm.nih.gov/pmc/articles/PMC27807284" </w:instrText>
      </w:r>
      <w:r w:rsidRPr="0044733B">
        <w:rPr>
          <w:rFonts w:ascii="Arial" w:hAnsi="Arial" w:cs="Arial"/>
          <w:sz w:val="24"/>
          <w:szCs w:val="24"/>
        </w:rPr>
        <w:fldChar w:fldCharType="separate"/>
      </w:r>
      <w:r w:rsidRPr="0044733B">
        <w:rPr>
          <w:rStyle w:val="Hyperlink"/>
          <w:rFonts w:ascii="Arial" w:hAnsi="Arial" w:cs="Arial"/>
          <w:sz w:val="24"/>
          <w:szCs w:val="24"/>
        </w:rPr>
        <w:t>PubMed</w:t>
      </w:r>
      <w:proofErr w:type="spellEnd"/>
      <w:r w:rsidRPr="0044733B">
        <w:rPr>
          <w:rStyle w:val="Hyperlink"/>
          <w:rFonts w:ascii="Arial" w:hAnsi="Arial" w:cs="Arial"/>
          <w:sz w:val="24"/>
          <w:szCs w:val="24"/>
        </w:rPr>
        <w:t xml:space="preserve"> Central</w:t>
      </w:r>
      <w:r w:rsidRPr="0044733B">
        <w:rPr>
          <w:rFonts w:ascii="Arial" w:hAnsi="Arial" w:cs="Arial"/>
          <w:sz w:val="24"/>
          <w:szCs w:val="24"/>
        </w:rPr>
        <w:fldChar w:fldCharType="end"/>
      </w:r>
      <w:r w:rsidRPr="0044733B">
        <w:rPr>
          <w:rFonts w:ascii="Arial" w:hAnsi="Arial" w:cs="Arial"/>
          <w:sz w:val="24"/>
          <w:szCs w:val="24"/>
        </w:rPr>
        <w:t>  </w:t>
      </w:r>
      <w:hyperlink r:id="rId10" w:history="1">
        <w:r w:rsidRPr="0044733B">
          <w:rPr>
            <w:rStyle w:val="Hyperlink"/>
            <w:rFonts w:ascii="Arial" w:hAnsi="Arial" w:cs="Arial"/>
            <w:sz w:val="24"/>
            <w:szCs w:val="24"/>
          </w:rPr>
          <w:t>Google Scholar</w:t>
        </w:r>
      </w:hyperlink>
      <w:r w:rsidRPr="0044733B">
        <w:rPr>
          <w:rFonts w:ascii="Arial" w:hAnsi="Arial" w:cs="Arial"/>
          <w:sz w:val="24"/>
          <w:szCs w:val="24"/>
        </w:rPr>
        <w:t> </w:t>
      </w:r>
    </w:p>
    <w:p w:rsidR="0044733B" w:rsidRPr="0044733B" w:rsidRDefault="0044733B" w:rsidP="0044733B">
      <w:pPr>
        <w:jc w:val="both"/>
        <w:rPr>
          <w:rFonts w:ascii="Arial" w:hAnsi="Arial" w:cs="Arial"/>
          <w:sz w:val="24"/>
          <w:szCs w:val="24"/>
        </w:rPr>
      </w:pPr>
    </w:p>
    <w:sectPr w:rsidR="0044733B" w:rsidRPr="0044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80B"/>
    <w:multiLevelType w:val="multilevel"/>
    <w:tmpl w:val="79567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3B"/>
    <w:rsid w:val="0044733B"/>
    <w:rsid w:val="006F42AD"/>
    <w:rsid w:val="00AE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F685"/>
  <w15:chartTrackingRefBased/>
  <w15:docId w15:val="{4BC2B198-65F7-411D-B336-EA7F2AB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33B"/>
    <w:rPr>
      <w:color w:val="0563C1" w:themeColor="hyperlink"/>
      <w:u w:val="single"/>
    </w:rPr>
  </w:style>
  <w:style w:type="character" w:styleId="UnresolvedMention">
    <w:name w:val="Unresolved Mention"/>
    <w:basedOn w:val="DefaultParagraphFont"/>
    <w:uiPriority w:val="99"/>
    <w:semiHidden/>
    <w:unhideWhenUsed/>
    <w:rsid w:val="0044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77805">
      <w:bodyDiv w:val="1"/>
      <w:marLeft w:val="0"/>
      <w:marRight w:val="0"/>
      <w:marTop w:val="0"/>
      <w:marBottom w:val="0"/>
      <w:divBdr>
        <w:top w:val="none" w:sz="0" w:space="0" w:color="auto"/>
        <w:left w:val="none" w:sz="0" w:space="0" w:color="auto"/>
        <w:bottom w:val="none" w:sz="0" w:space="0" w:color="auto"/>
        <w:right w:val="none" w:sz="0" w:space="0" w:color="auto"/>
      </w:divBdr>
      <w:divsChild>
        <w:div w:id="1927879761">
          <w:marLeft w:val="0"/>
          <w:marRight w:val="0"/>
          <w:marTop w:val="0"/>
          <w:marBottom w:val="600"/>
          <w:divBdr>
            <w:top w:val="none" w:sz="0" w:space="0" w:color="auto"/>
            <w:left w:val="none" w:sz="0" w:space="0" w:color="auto"/>
            <w:bottom w:val="none" w:sz="0" w:space="0" w:color="auto"/>
            <w:right w:val="none" w:sz="0" w:space="0" w:color="auto"/>
          </w:divBdr>
          <w:divsChild>
            <w:div w:id="4022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lookup?&amp;title=Clinical%20course%20and%20risk%20factors%20for%20mortality%20of%20adult%20inpatients%20with%20COVID-19%20in%20Wuhan%2C%20China%3A%20a%20retrospective%20cohort%20study&amp;journal=Lancet&amp;volume=395&amp;pages=1054-1062&amp;publication_year=2020&amp;author=Zhou%2CF" TargetMode="External"/><Relationship Id="rId3" Type="http://schemas.openxmlformats.org/officeDocument/2006/relationships/settings" Target="settings.xml"/><Relationship Id="rId7" Type="http://schemas.openxmlformats.org/officeDocument/2006/relationships/hyperlink" Target="http://www.ncbi.nlm.nih.gov/entrez/query.fcgi?cmd=Retrieve&amp;db=PubMed&amp;dopt=Abstract&amp;list_uids=321710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pir.ump.edu.my/articles/cas-redirect/1:CAS:528:DC%2BB3cXkvVGktL8%3D" TargetMode="External"/><Relationship Id="rId11" Type="http://schemas.openxmlformats.org/officeDocument/2006/relationships/fontTable" Target="fontTable.xml"/><Relationship Id="rId5" Type="http://schemas.openxmlformats.org/officeDocument/2006/relationships/hyperlink" Target="http://scholar.google.com/scholar_lookup?&amp;title=Features%20of%2020%E2%80%89133%20UK%20patients%20in%20hospital%20with%20COVID-19%20using%20the%20ISARIC%20WHO%20Clinical%20Characterisation%20Protocol%3A%20prospective%20observational%20cohort%20study&amp;journal=Br.%20Med.%20J.&amp;volume=369&amp;publication_year=2020&amp;author=Docherty%2CAB" TargetMode="External"/><Relationship Id="rId10" Type="http://schemas.openxmlformats.org/officeDocument/2006/relationships/hyperlink" Target="http://scholar.google.com/scholar_lookup?&amp;title=Resolving%20TYK2%20locus%20genotype-to-phenotype%20differences%20in%20autoimmunity&amp;journal=Sci.%20Transl.%20Med.&amp;volume=8&amp;publication_year=2016&amp;author=Dendrou%2CCA" TargetMode="External"/><Relationship Id="rId4" Type="http://schemas.openxmlformats.org/officeDocument/2006/relationships/webSettings" Target="webSettings.xml"/><Relationship Id="rId9" Type="http://schemas.openxmlformats.org/officeDocument/2006/relationships/hyperlink" Target="http://www.ncbi.nlm.nih.gov/entrez/query.fcgi?cmd=Retrieve&amp;db=PubMed&amp;dopt=Abstract&amp;list_uids=27807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0038-HARYATI</dc:creator>
  <cp:keywords/>
  <dc:description/>
  <cp:lastModifiedBy>0038-HARYATI</cp:lastModifiedBy>
  <cp:revision>2</cp:revision>
  <dcterms:created xsi:type="dcterms:W3CDTF">2022-10-07T04:42:00Z</dcterms:created>
  <dcterms:modified xsi:type="dcterms:W3CDTF">2022-10-07T04:55:00Z</dcterms:modified>
</cp:coreProperties>
</file>