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95" w:rsidRPr="00F86095" w:rsidRDefault="00F86095" w:rsidP="00F86095">
      <w:pPr>
        <w:spacing w:line="360" w:lineRule="auto"/>
        <w:jc w:val="both"/>
        <w:rPr>
          <w:rFonts w:ascii="Arial" w:hAnsi="Arial" w:cs="Arial"/>
          <w:b/>
          <w:bCs/>
          <w:sz w:val="24"/>
          <w:szCs w:val="24"/>
        </w:rPr>
      </w:pPr>
      <w:r>
        <w:rPr>
          <w:rFonts w:ascii="Arial" w:hAnsi="Arial" w:cs="Arial"/>
          <w:b/>
          <w:bCs/>
          <w:sz w:val="24"/>
          <w:szCs w:val="24"/>
        </w:rPr>
        <w:t xml:space="preserve">Title: </w:t>
      </w:r>
      <w:bookmarkStart w:id="0" w:name="_GoBack"/>
      <w:r w:rsidRPr="00F86095">
        <w:rPr>
          <w:rFonts w:ascii="Arial" w:hAnsi="Arial" w:cs="Arial"/>
          <w:b/>
          <w:bCs/>
          <w:sz w:val="24"/>
          <w:szCs w:val="24"/>
        </w:rPr>
        <w:t xml:space="preserve">A Cause and Effect of a </w:t>
      </w:r>
      <w:proofErr w:type="spellStart"/>
      <w:r w:rsidRPr="00F86095">
        <w:rPr>
          <w:rFonts w:ascii="Arial" w:hAnsi="Arial" w:cs="Arial"/>
          <w:b/>
          <w:bCs/>
          <w:sz w:val="24"/>
          <w:szCs w:val="24"/>
        </w:rPr>
        <w:t>Nonpayment</w:t>
      </w:r>
      <w:proofErr w:type="spellEnd"/>
      <w:r w:rsidRPr="00F86095">
        <w:rPr>
          <w:rFonts w:ascii="Arial" w:hAnsi="Arial" w:cs="Arial"/>
          <w:b/>
          <w:bCs/>
          <w:sz w:val="24"/>
          <w:szCs w:val="24"/>
        </w:rPr>
        <w:t xml:space="preserve"> Model Based on the DEMATEL Algorithm</w:t>
      </w:r>
      <w:bookmarkEnd w:id="0"/>
    </w:p>
    <w:p w:rsidR="00A27062" w:rsidRPr="00F86095" w:rsidRDefault="00F86095" w:rsidP="00F86095">
      <w:pPr>
        <w:spacing w:line="360" w:lineRule="auto"/>
        <w:jc w:val="both"/>
        <w:rPr>
          <w:rFonts w:ascii="Arial" w:hAnsi="Arial" w:cs="Arial"/>
          <w:sz w:val="24"/>
          <w:szCs w:val="24"/>
        </w:rPr>
      </w:pPr>
      <w:r>
        <w:rPr>
          <w:rFonts w:ascii="Arial" w:hAnsi="Arial" w:cs="Arial"/>
          <w:sz w:val="24"/>
          <w:szCs w:val="24"/>
        </w:rPr>
        <w:t xml:space="preserve">Author: </w:t>
      </w:r>
      <w:r w:rsidRPr="00F86095">
        <w:rPr>
          <w:rFonts w:ascii="Arial" w:hAnsi="Arial" w:cs="Arial"/>
          <w:sz w:val="24"/>
          <w:szCs w:val="24"/>
        </w:rPr>
        <w:t xml:space="preserve">Chia </w:t>
      </w:r>
      <w:proofErr w:type="spellStart"/>
      <w:r w:rsidRPr="00F86095">
        <w:rPr>
          <w:rFonts w:ascii="Arial" w:hAnsi="Arial" w:cs="Arial"/>
          <w:sz w:val="24"/>
          <w:szCs w:val="24"/>
        </w:rPr>
        <w:t>Kuang</w:t>
      </w:r>
      <w:proofErr w:type="spellEnd"/>
      <w:r w:rsidRPr="00F86095">
        <w:rPr>
          <w:rFonts w:ascii="Arial" w:hAnsi="Arial" w:cs="Arial"/>
          <w:sz w:val="24"/>
          <w:szCs w:val="24"/>
        </w:rPr>
        <w:t xml:space="preserve"> </w:t>
      </w:r>
      <w:proofErr w:type="gramStart"/>
      <w:r w:rsidRPr="00F86095">
        <w:rPr>
          <w:rFonts w:ascii="Arial" w:hAnsi="Arial" w:cs="Arial"/>
          <w:sz w:val="24"/>
          <w:szCs w:val="24"/>
        </w:rPr>
        <w:t>Lee ;</w:t>
      </w:r>
      <w:proofErr w:type="gramEnd"/>
      <w:r w:rsidRPr="00F86095">
        <w:rPr>
          <w:rFonts w:ascii="Arial" w:hAnsi="Arial" w:cs="Arial"/>
          <w:sz w:val="24"/>
          <w:szCs w:val="24"/>
        </w:rPr>
        <w:t xml:space="preserve"> </w:t>
      </w:r>
      <w:proofErr w:type="spellStart"/>
      <w:r w:rsidRPr="00F86095">
        <w:rPr>
          <w:rFonts w:ascii="Arial" w:hAnsi="Arial" w:cs="Arial"/>
          <w:sz w:val="24"/>
          <w:szCs w:val="24"/>
        </w:rPr>
        <w:t>Marián</w:t>
      </w:r>
      <w:proofErr w:type="spellEnd"/>
      <w:r w:rsidRPr="00F86095">
        <w:rPr>
          <w:rFonts w:ascii="Arial" w:hAnsi="Arial" w:cs="Arial"/>
          <w:sz w:val="24"/>
          <w:szCs w:val="24"/>
        </w:rPr>
        <w:t xml:space="preserve"> Bujna ; Ahmad </w:t>
      </w:r>
      <w:proofErr w:type="spellStart"/>
      <w:r w:rsidRPr="00F86095">
        <w:rPr>
          <w:rFonts w:ascii="Arial" w:hAnsi="Arial" w:cs="Arial"/>
          <w:sz w:val="24"/>
          <w:szCs w:val="24"/>
        </w:rPr>
        <w:t>Huzaimi</w:t>
      </w:r>
      <w:proofErr w:type="spellEnd"/>
      <w:r w:rsidRPr="00F86095">
        <w:rPr>
          <w:rFonts w:ascii="Arial" w:hAnsi="Arial" w:cs="Arial"/>
          <w:sz w:val="24"/>
          <w:szCs w:val="24"/>
        </w:rPr>
        <w:t xml:space="preserve"> Abd Jamil ; and Pei </w:t>
      </w:r>
      <w:proofErr w:type="spellStart"/>
      <w:r w:rsidRPr="00F86095">
        <w:rPr>
          <w:rFonts w:ascii="Arial" w:hAnsi="Arial" w:cs="Arial"/>
          <w:sz w:val="24"/>
          <w:szCs w:val="24"/>
        </w:rPr>
        <w:t>Theng</w:t>
      </w:r>
      <w:proofErr w:type="spellEnd"/>
      <w:r w:rsidRPr="00F86095">
        <w:rPr>
          <w:rFonts w:ascii="Arial" w:hAnsi="Arial" w:cs="Arial"/>
          <w:sz w:val="24"/>
          <w:szCs w:val="24"/>
        </w:rPr>
        <w:t xml:space="preserve"> </w:t>
      </w:r>
      <w:proofErr w:type="spellStart"/>
      <w:r w:rsidRPr="00F86095">
        <w:rPr>
          <w:rFonts w:ascii="Arial" w:hAnsi="Arial" w:cs="Arial"/>
          <w:sz w:val="24"/>
          <w:szCs w:val="24"/>
        </w:rPr>
        <w:t>Ee</w:t>
      </w:r>
      <w:proofErr w:type="spellEnd"/>
    </w:p>
    <w:p w:rsidR="00F86095" w:rsidRPr="00F86095" w:rsidRDefault="00F86095" w:rsidP="00F86095">
      <w:pPr>
        <w:spacing w:line="360" w:lineRule="auto"/>
        <w:jc w:val="both"/>
        <w:rPr>
          <w:rFonts w:ascii="Arial" w:hAnsi="Arial" w:cs="Arial"/>
          <w:sz w:val="24"/>
          <w:szCs w:val="24"/>
        </w:rPr>
      </w:pPr>
    </w:p>
    <w:p w:rsidR="00F86095" w:rsidRPr="00F86095" w:rsidRDefault="00F86095" w:rsidP="00F86095">
      <w:pPr>
        <w:spacing w:line="360" w:lineRule="auto"/>
        <w:jc w:val="both"/>
        <w:rPr>
          <w:rFonts w:ascii="Arial" w:hAnsi="Arial" w:cs="Arial"/>
          <w:sz w:val="24"/>
          <w:szCs w:val="24"/>
        </w:rPr>
      </w:pPr>
      <w:r w:rsidRPr="00F86095">
        <w:rPr>
          <w:rFonts w:ascii="Arial" w:hAnsi="Arial" w:cs="Arial"/>
          <w:b/>
          <w:bCs/>
          <w:sz w:val="24"/>
          <w:szCs w:val="24"/>
        </w:rPr>
        <w:t>Publication</w:t>
      </w:r>
      <w:r w:rsidRPr="00F86095">
        <w:rPr>
          <w:rFonts w:ascii="Arial" w:hAnsi="Arial" w:cs="Arial"/>
          <w:sz w:val="24"/>
          <w:szCs w:val="24"/>
        </w:rPr>
        <w:t>: Journal of Legal Affairs and Dispute Resolution in Engineering and Construction</w:t>
      </w:r>
    </w:p>
    <w:p w:rsidR="00F86095" w:rsidRPr="00F86095" w:rsidRDefault="00F86095" w:rsidP="00F86095">
      <w:pPr>
        <w:spacing w:line="360" w:lineRule="auto"/>
        <w:jc w:val="both"/>
        <w:rPr>
          <w:rFonts w:ascii="Arial" w:hAnsi="Arial" w:cs="Arial"/>
          <w:sz w:val="24"/>
          <w:szCs w:val="24"/>
        </w:rPr>
      </w:pPr>
      <w:r w:rsidRPr="00F86095">
        <w:rPr>
          <w:rFonts w:ascii="Arial" w:hAnsi="Arial" w:cs="Arial"/>
          <w:sz w:val="24"/>
          <w:szCs w:val="24"/>
        </w:rPr>
        <w:t>Volume 15, Issue 1</w:t>
      </w:r>
    </w:p>
    <w:p w:rsidR="00F86095" w:rsidRPr="00F86095" w:rsidRDefault="00F86095" w:rsidP="00F86095">
      <w:pPr>
        <w:spacing w:line="360" w:lineRule="auto"/>
        <w:jc w:val="both"/>
        <w:rPr>
          <w:rFonts w:ascii="Arial" w:hAnsi="Arial" w:cs="Arial"/>
          <w:sz w:val="24"/>
          <w:szCs w:val="24"/>
        </w:rPr>
      </w:pPr>
      <w:hyperlink r:id="rId5" w:history="1">
        <w:r w:rsidRPr="00F86095">
          <w:rPr>
            <w:rStyle w:val="Hyperlink"/>
            <w:rFonts w:ascii="Arial" w:hAnsi="Arial" w:cs="Arial"/>
            <w:sz w:val="24"/>
            <w:szCs w:val="24"/>
          </w:rPr>
          <w:t>https://doi.org/10.1061/(ASCE)LA.1943-4170.0000592</w:t>
        </w:r>
      </w:hyperlink>
    </w:p>
    <w:p w:rsidR="00F86095" w:rsidRPr="00F86095" w:rsidRDefault="00F86095" w:rsidP="00F86095">
      <w:pPr>
        <w:spacing w:line="360" w:lineRule="auto"/>
        <w:jc w:val="both"/>
        <w:rPr>
          <w:rFonts w:ascii="Arial" w:hAnsi="Arial" w:cs="Arial"/>
          <w:sz w:val="24"/>
          <w:szCs w:val="24"/>
        </w:rPr>
      </w:pPr>
    </w:p>
    <w:p w:rsidR="00F86095" w:rsidRPr="00F86095" w:rsidRDefault="00F86095" w:rsidP="00F86095">
      <w:pPr>
        <w:spacing w:line="360" w:lineRule="auto"/>
        <w:jc w:val="both"/>
        <w:rPr>
          <w:rFonts w:ascii="Arial" w:hAnsi="Arial" w:cs="Arial"/>
          <w:b/>
          <w:bCs/>
          <w:sz w:val="24"/>
          <w:szCs w:val="24"/>
        </w:rPr>
      </w:pPr>
      <w:r w:rsidRPr="00F86095">
        <w:rPr>
          <w:rFonts w:ascii="Arial" w:hAnsi="Arial" w:cs="Arial"/>
          <w:b/>
          <w:bCs/>
          <w:sz w:val="24"/>
          <w:szCs w:val="24"/>
        </w:rPr>
        <w:t>Abstract</w:t>
      </w:r>
    </w:p>
    <w:p w:rsidR="00F86095" w:rsidRPr="00F86095" w:rsidRDefault="00F86095" w:rsidP="00F86095">
      <w:pPr>
        <w:spacing w:line="360" w:lineRule="auto"/>
        <w:jc w:val="both"/>
        <w:rPr>
          <w:rFonts w:ascii="Arial" w:hAnsi="Arial" w:cs="Arial"/>
          <w:sz w:val="24"/>
          <w:szCs w:val="24"/>
        </w:rPr>
      </w:pPr>
      <w:r w:rsidRPr="00F86095">
        <w:rPr>
          <w:rFonts w:ascii="Arial" w:hAnsi="Arial" w:cs="Arial"/>
          <w:sz w:val="24"/>
          <w:szCs w:val="24"/>
        </w:rPr>
        <w:t xml:space="preserve">Payment is regarded to be the construction industry’s lifeblood. Late and </w:t>
      </w:r>
      <w:proofErr w:type="spellStart"/>
      <w:r w:rsidRPr="00F86095">
        <w:rPr>
          <w:rFonts w:ascii="Arial" w:hAnsi="Arial" w:cs="Arial"/>
          <w:sz w:val="24"/>
          <w:szCs w:val="24"/>
        </w:rPr>
        <w:t>nonpayment</w:t>
      </w:r>
      <w:proofErr w:type="spellEnd"/>
      <w:r w:rsidRPr="00F86095">
        <w:rPr>
          <w:rFonts w:ascii="Arial" w:hAnsi="Arial" w:cs="Arial"/>
          <w:sz w:val="24"/>
          <w:szCs w:val="24"/>
        </w:rPr>
        <w:t xml:space="preserve"> concerns have plagued the construction industry. Previous research has only looked at the cause and effect of payment problems in the construction industry, not the link between the variables. The purpose of this study is to look at the causes and repercussions of </w:t>
      </w:r>
      <w:proofErr w:type="spellStart"/>
      <w:r w:rsidRPr="00F86095">
        <w:rPr>
          <w:rFonts w:ascii="Arial" w:hAnsi="Arial" w:cs="Arial"/>
          <w:sz w:val="24"/>
          <w:szCs w:val="24"/>
        </w:rPr>
        <w:t>nonpayment</w:t>
      </w:r>
      <w:proofErr w:type="spellEnd"/>
      <w:r w:rsidRPr="00F86095">
        <w:rPr>
          <w:rFonts w:ascii="Arial" w:hAnsi="Arial" w:cs="Arial"/>
          <w:sz w:val="24"/>
          <w:szCs w:val="24"/>
        </w:rPr>
        <w:t xml:space="preserve">, as well as their interactions. The study’s list of causes and consequences was compiled from a literature review, and nine were retrieved. The Decision-Making Trial and Evaluation Laboratory (DEMATEL) technique was used to create a causal relationship between the causes and effects of </w:t>
      </w:r>
      <w:proofErr w:type="spellStart"/>
      <w:r w:rsidRPr="00F86095">
        <w:rPr>
          <w:rFonts w:ascii="Arial" w:hAnsi="Arial" w:cs="Arial"/>
          <w:sz w:val="24"/>
          <w:szCs w:val="24"/>
        </w:rPr>
        <w:t>nonpayment</w:t>
      </w:r>
      <w:proofErr w:type="spellEnd"/>
      <w:r w:rsidRPr="00F86095">
        <w:rPr>
          <w:rFonts w:ascii="Arial" w:hAnsi="Arial" w:cs="Arial"/>
          <w:sz w:val="24"/>
          <w:szCs w:val="24"/>
        </w:rPr>
        <w:t xml:space="preserve"> so they may be understood and intervened in. Paymaster’s inadequate financial management (C1), local culture and attitude (C2), document error (C6), contractual provision (C8), and disagreement on the valuation of work done (C9) are the major cause factors, according to the data collected from 13 respondents. The key repercussions, on the other hand, include cash flow problem (E2), bankruptcy and liquidation (E4), project abandonment (E5), delay (E7), and disputes (E8). The conclusions of this study can assist major players in the construction sector, as well as the government, in establishing a strategy to effectively address the </w:t>
      </w:r>
      <w:proofErr w:type="spellStart"/>
      <w:r w:rsidRPr="00F86095">
        <w:rPr>
          <w:rFonts w:ascii="Arial" w:hAnsi="Arial" w:cs="Arial"/>
          <w:sz w:val="24"/>
          <w:szCs w:val="24"/>
        </w:rPr>
        <w:t>nonpayment</w:t>
      </w:r>
      <w:proofErr w:type="spellEnd"/>
      <w:r w:rsidRPr="00F86095">
        <w:rPr>
          <w:rFonts w:ascii="Arial" w:hAnsi="Arial" w:cs="Arial"/>
          <w:sz w:val="24"/>
          <w:szCs w:val="24"/>
        </w:rPr>
        <w:t xml:space="preserve"> problem in the industry.</w:t>
      </w:r>
    </w:p>
    <w:p w:rsidR="00F86095" w:rsidRPr="00F86095" w:rsidRDefault="00F86095" w:rsidP="00F86095">
      <w:pPr>
        <w:spacing w:line="360" w:lineRule="auto"/>
        <w:jc w:val="both"/>
        <w:rPr>
          <w:rFonts w:ascii="Arial" w:hAnsi="Arial" w:cs="Arial"/>
          <w:sz w:val="24"/>
          <w:szCs w:val="24"/>
        </w:rPr>
      </w:pPr>
      <w:r w:rsidRPr="00F86095">
        <w:rPr>
          <w:rFonts w:ascii="Arial" w:hAnsi="Arial" w:cs="Arial"/>
          <w:sz w:val="24"/>
          <w:szCs w:val="24"/>
        </w:rPr>
        <w:t xml:space="preserve">Keywords: Construction industry; </w:t>
      </w:r>
      <w:proofErr w:type="spellStart"/>
      <w:r w:rsidRPr="00F86095">
        <w:rPr>
          <w:rFonts w:ascii="Arial" w:hAnsi="Arial" w:cs="Arial"/>
          <w:sz w:val="24"/>
          <w:szCs w:val="24"/>
        </w:rPr>
        <w:t>Nonpayment</w:t>
      </w:r>
      <w:proofErr w:type="spellEnd"/>
      <w:r w:rsidRPr="00F86095">
        <w:rPr>
          <w:rFonts w:ascii="Arial" w:hAnsi="Arial" w:cs="Arial"/>
          <w:sz w:val="24"/>
          <w:szCs w:val="24"/>
        </w:rPr>
        <w:t>; Decision-Making Trial and Evaluation Laboratory (DEMATEL)</w:t>
      </w:r>
    </w:p>
    <w:p w:rsidR="00F86095" w:rsidRPr="00F86095" w:rsidRDefault="00F86095" w:rsidP="00F86095">
      <w:pPr>
        <w:spacing w:line="360" w:lineRule="auto"/>
        <w:jc w:val="both"/>
        <w:rPr>
          <w:rFonts w:ascii="Arial" w:hAnsi="Arial" w:cs="Arial"/>
          <w:sz w:val="24"/>
          <w:szCs w:val="24"/>
        </w:rPr>
      </w:pPr>
      <w:r>
        <w:rPr>
          <w:rFonts w:ascii="Arial" w:hAnsi="Arial" w:cs="Arial"/>
          <w:sz w:val="24"/>
          <w:szCs w:val="24"/>
        </w:rPr>
        <w:lastRenderedPageBreak/>
        <w:t>Reference:</w:t>
      </w:r>
    </w:p>
    <w:p w:rsidR="00F86095" w:rsidRPr="00F86095" w:rsidRDefault="00F86095" w:rsidP="00F86095">
      <w:pPr>
        <w:spacing w:line="360" w:lineRule="auto"/>
        <w:jc w:val="both"/>
        <w:rPr>
          <w:rFonts w:ascii="Arial" w:hAnsi="Arial" w:cs="Arial"/>
          <w:sz w:val="24"/>
          <w:szCs w:val="24"/>
        </w:rPr>
      </w:pPr>
      <w:r w:rsidRPr="00F86095">
        <w:rPr>
          <w:rFonts w:ascii="Arial" w:hAnsi="Arial" w:cs="Arial"/>
          <w:sz w:val="24"/>
          <w:szCs w:val="24"/>
        </w:rPr>
        <w:t xml:space="preserve">Abdul-Rahman, H., W. M. S. Chen, and M. E. C. </w:t>
      </w:r>
      <w:proofErr w:type="spellStart"/>
      <w:r w:rsidRPr="00F86095">
        <w:rPr>
          <w:rFonts w:ascii="Arial" w:hAnsi="Arial" w:cs="Arial"/>
          <w:sz w:val="24"/>
          <w:szCs w:val="24"/>
        </w:rPr>
        <w:t>Munaaim</w:t>
      </w:r>
      <w:proofErr w:type="spellEnd"/>
      <w:r w:rsidRPr="00F86095">
        <w:rPr>
          <w:rFonts w:ascii="Arial" w:hAnsi="Arial" w:cs="Arial"/>
          <w:sz w:val="24"/>
          <w:szCs w:val="24"/>
        </w:rPr>
        <w:t xml:space="preserve">. 2013. “Cause, effect and reaction for late-payment and non-payment issues in Malaysian building sector.” </w:t>
      </w:r>
      <w:proofErr w:type="spellStart"/>
      <w:r w:rsidRPr="00F86095">
        <w:rPr>
          <w:rFonts w:ascii="Arial" w:hAnsi="Arial" w:cs="Arial"/>
          <w:sz w:val="24"/>
          <w:szCs w:val="24"/>
        </w:rPr>
        <w:t>Topclass</w:t>
      </w:r>
      <w:proofErr w:type="spellEnd"/>
      <w:r w:rsidRPr="00F86095">
        <w:rPr>
          <w:rFonts w:ascii="Arial" w:hAnsi="Arial" w:cs="Arial"/>
          <w:sz w:val="24"/>
          <w:szCs w:val="24"/>
        </w:rPr>
        <w:t xml:space="preserve"> J. Bus. Manage. </w:t>
      </w:r>
      <w:proofErr w:type="spellStart"/>
      <w:r w:rsidRPr="00F86095">
        <w:rPr>
          <w:rFonts w:ascii="Arial" w:hAnsi="Arial" w:cs="Arial"/>
          <w:sz w:val="24"/>
          <w:szCs w:val="24"/>
        </w:rPr>
        <w:t>Innov</w:t>
      </w:r>
      <w:proofErr w:type="spellEnd"/>
      <w:r w:rsidRPr="00F86095">
        <w:rPr>
          <w:rFonts w:ascii="Arial" w:hAnsi="Arial" w:cs="Arial"/>
          <w:sz w:val="24"/>
          <w:szCs w:val="24"/>
        </w:rPr>
        <w:t>. 1 (1): 8–10.</w:t>
      </w:r>
    </w:p>
    <w:p w:rsidR="00F86095" w:rsidRPr="00F86095" w:rsidRDefault="00F86095" w:rsidP="00F86095">
      <w:pPr>
        <w:spacing w:line="360" w:lineRule="auto"/>
        <w:jc w:val="both"/>
        <w:rPr>
          <w:rFonts w:ascii="Arial" w:hAnsi="Arial" w:cs="Arial"/>
          <w:sz w:val="24"/>
          <w:szCs w:val="24"/>
        </w:rPr>
      </w:pPr>
      <w:r w:rsidRPr="00F86095">
        <w:rPr>
          <w:rFonts w:ascii="Arial" w:hAnsi="Arial" w:cs="Arial"/>
          <w:sz w:val="24"/>
          <w:szCs w:val="24"/>
        </w:rPr>
        <w:t>Google Scholar</w:t>
      </w:r>
    </w:p>
    <w:p w:rsidR="00F86095" w:rsidRPr="00F86095" w:rsidRDefault="00F86095" w:rsidP="00F86095">
      <w:pPr>
        <w:spacing w:line="360" w:lineRule="auto"/>
        <w:jc w:val="both"/>
        <w:rPr>
          <w:rFonts w:ascii="Arial" w:hAnsi="Arial" w:cs="Arial"/>
          <w:sz w:val="24"/>
          <w:szCs w:val="24"/>
        </w:rPr>
      </w:pPr>
      <w:r w:rsidRPr="00F86095">
        <w:rPr>
          <w:rFonts w:ascii="Arial" w:hAnsi="Arial" w:cs="Arial"/>
          <w:sz w:val="24"/>
          <w:szCs w:val="24"/>
        </w:rPr>
        <w:t xml:space="preserve">Abdul-Rahman, H., R. </w:t>
      </w:r>
      <w:proofErr w:type="spellStart"/>
      <w:r w:rsidRPr="00F86095">
        <w:rPr>
          <w:rFonts w:ascii="Arial" w:hAnsi="Arial" w:cs="Arial"/>
          <w:sz w:val="24"/>
          <w:szCs w:val="24"/>
        </w:rPr>
        <w:t>Takim</w:t>
      </w:r>
      <w:proofErr w:type="spellEnd"/>
      <w:r w:rsidRPr="00F86095">
        <w:rPr>
          <w:rFonts w:ascii="Arial" w:hAnsi="Arial" w:cs="Arial"/>
          <w:sz w:val="24"/>
          <w:szCs w:val="24"/>
        </w:rPr>
        <w:t>, and W. S. Min. 2009. “Financial-related causes contributing to project delays.” J. Retail Leisure Property 8 (3): 225–238. https://doi.org/10.1057/rlp.2009.11.</w:t>
      </w:r>
    </w:p>
    <w:p w:rsidR="00F86095" w:rsidRPr="00F86095" w:rsidRDefault="00F86095" w:rsidP="00F86095">
      <w:pPr>
        <w:spacing w:line="360" w:lineRule="auto"/>
        <w:jc w:val="both"/>
        <w:rPr>
          <w:rFonts w:ascii="Arial" w:hAnsi="Arial" w:cs="Arial"/>
          <w:sz w:val="24"/>
          <w:szCs w:val="24"/>
        </w:rPr>
      </w:pPr>
      <w:r w:rsidRPr="00F86095">
        <w:rPr>
          <w:rFonts w:ascii="Arial" w:hAnsi="Arial" w:cs="Arial"/>
          <w:sz w:val="24"/>
          <w:szCs w:val="24"/>
        </w:rPr>
        <w:t>Google Scholar</w:t>
      </w:r>
    </w:p>
    <w:p w:rsidR="00F86095" w:rsidRPr="00F86095" w:rsidRDefault="00F86095" w:rsidP="00F86095">
      <w:pPr>
        <w:spacing w:line="360" w:lineRule="auto"/>
        <w:jc w:val="both"/>
        <w:rPr>
          <w:rFonts w:ascii="Arial" w:hAnsi="Arial" w:cs="Arial"/>
          <w:sz w:val="24"/>
          <w:szCs w:val="24"/>
        </w:rPr>
      </w:pPr>
      <w:r w:rsidRPr="00F86095">
        <w:rPr>
          <w:rFonts w:ascii="Arial" w:hAnsi="Arial" w:cs="Arial"/>
          <w:sz w:val="24"/>
          <w:szCs w:val="24"/>
        </w:rPr>
        <w:t xml:space="preserve">Ansah, S. K. 2011. “Causes and effects of delayed payments by clients on construction projects in Ghana.” J. Constr. Project Manage. </w:t>
      </w:r>
      <w:proofErr w:type="spellStart"/>
      <w:r w:rsidRPr="00F86095">
        <w:rPr>
          <w:rFonts w:ascii="Arial" w:hAnsi="Arial" w:cs="Arial"/>
          <w:sz w:val="24"/>
          <w:szCs w:val="24"/>
        </w:rPr>
        <w:t>Innov</w:t>
      </w:r>
      <w:proofErr w:type="spellEnd"/>
      <w:r w:rsidRPr="00F86095">
        <w:rPr>
          <w:rFonts w:ascii="Arial" w:hAnsi="Arial" w:cs="Arial"/>
          <w:sz w:val="24"/>
          <w:szCs w:val="24"/>
        </w:rPr>
        <w:t>. 1 (1): 27–45. https://doi.org/10.36615/jcpmi.v1i1.12.</w:t>
      </w:r>
    </w:p>
    <w:sectPr w:rsidR="00F86095" w:rsidRPr="00F86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95"/>
    <w:rsid w:val="00867A56"/>
    <w:rsid w:val="00E8632B"/>
    <w:rsid w:val="00F8609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814E"/>
  <w15:chartTrackingRefBased/>
  <w15:docId w15:val="{FC356EBA-5E51-471E-B853-5BDB84E1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095"/>
    <w:rPr>
      <w:color w:val="0563C1" w:themeColor="hyperlink"/>
      <w:u w:val="single"/>
    </w:rPr>
  </w:style>
  <w:style w:type="character" w:styleId="UnresolvedMention">
    <w:name w:val="Unresolved Mention"/>
    <w:basedOn w:val="DefaultParagraphFont"/>
    <w:uiPriority w:val="99"/>
    <w:semiHidden/>
    <w:unhideWhenUsed/>
    <w:rsid w:val="00F86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12885">
      <w:bodyDiv w:val="1"/>
      <w:marLeft w:val="0"/>
      <w:marRight w:val="0"/>
      <w:marTop w:val="0"/>
      <w:marBottom w:val="0"/>
      <w:divBdr>
        <w:top w:val="none" w:sz="0" w:space="0" w:color="auto"/>
        <w:left w:val="none" w:sz="0" w:space="0" w:color="auto"/>
        <w:bottom w:val="none" w:sz="0" w:space="0" w:color="auto"/>
        <w:right w:val="none" w:sz="0" w:space="0" w:color="auto"/>
      </w:divBdr>
      <w:divsChild>
        <w:div w:id="1855344515">
          <w:marLeft w:val="0"/>
          <w:marRight w:val="0"/>
          <w:marTop w:val="0"/>
          <w:marBottom w:val="0"/>
          <w:divBdr>
            <w:top w:val="none" w:sz="0" w:space="0" w:color="auto"/>
            <w:left w:val="none" w:sz="0" w:space="0" w:color="auto"/>
            <w:bottom w:val="none" w:sz="0" w:space="0" w:color="auto"/>
            <w:right w:val="none" w:sz="0" w:space="0" w:color="auto"/>
          </w:divBdr>
          <w:divsChild>
            <w:div w:id="796266153">
              <w:marLeft w:val="0"/>
              <w:marRight w:val="0"/>
              <w:marTop w:val="0"/>
              <w:marBottom w:val="0"/>
              <w:divBdr>
                <w:top w:val="none" w:sz="0" w:space="0" w:color="auto"/>
                <w:left w:val="none" w:sz="0" w:space="0" w:color="auto"/>
                <w:bottom w:val="single" w:sz="6" w:space="0" w:color="D9D9D9"/>
                <w:right w:val="none" w:sz="0" w:space="0" w:color="auto"/>
              </w:divBdr>
              <w:divsChild>
                <w:div w:id="21211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6039">
          <w:marLeft w:val="0"/>
          <w:marRight w:val="0"/>
          <w:marTop w:val="0"/>
          <w:marBottom w:val="0"/>
          <w:divBdr>
            <w:top w:val="none" w:sz="0" w:space="0" w:color="auto"/>
            <w:left w:val="none" w:sz="0" w:space="0" w:color="auto"/>
            <w:bottom w:val="none" w:sz="0" w:space="0" w:color="auto"/>
            <w:right w:val="none" w:sz="0" w:space="0" w:color="auto"/>
          </w:divBdr>
        </w:div>
      </w:divsChild>
    </w:div>
    <w:div w:id="1447969677">
      <w:bodyDiv w:val="1"/>
      <w:marLeft w:val="0"/>
      <w:marRight w:val="0"/>
      <w:marTop w:val="0"/>
      <w:marBottom w:val="0"/>
      <w:divBdr>
        <w:top w:val="none" w:sz="0" w:space="0" w:color="auto"/>
        <w:left w:val="none" w:sz="0" w:space="0" w:color="auto"/>
        <w:bottom w:val="none" w:sz="0" w:space="0" w:color="auto"/>
        <w:right w:val="none" w:sz="0" w:space="0" w:color="auto"/>
      </w:divBdr>
      <w:divsChild>
        <w:div w:id="1519857149">
          <w:marLeft w:val="0"/>
          <w:marRight w:val="0"/>
          <w:marTop w:val="0"/>
          <w:marBottom w:val="0"/>
          <w:divBdr>
            <w:top w:val="none" w:sz="0" w:space="0" w:color="auto"/>
            <w:left w:val="none" w:sz="0" w:space="0" w:color="auto"/>
            <w:bottom w:val="none" w:sz="0" w:space="0" w:color="auto"/>
            <w:right w:val="none" w:sz="0" w:space="0" w:color="auto"/>
          </w:divBdr>
        </w:div>
        <w:div w:id="1381586317">
          <w:marLeft w:val="0"/>
          <w:marRight w:val="0"/>
          <w:marTop w:val="0"/>
          <w:marBottom w:val="0"/>
          <w:divBdr>
            <w:top w:val="none" w:sz="0" w:space="0" w:color="auto"/>
            <w:left w:val="none" w:sz="0" w:space="0" w:color="auto"/>
            <w:bottom w:val="none" w:sz="0" w:space="0" w:color="auto"/>
            <w:right w:val="none" w:sz="0" w:space="0" w:color="auto"/>
          </w:divBdr>
        </w:div>
        <w:div w:id="455487397">
          <w:marLeft w:val="0"/>
          <w:marRight w:val="0"/>
          <w:marTop w:val="0"/>
          <w:marBottom w:val="0"/>
          <w:divBdr>
            <w:top w:val="none" w:sz="0" w:space="0" w:color="auto"/>
            <w:left w:val="none" w:sz="0" w:space="0" w:color="auto"/>
            <w:bottom w:val="none" w:sz="0" w:space="0" w:color="auto"/>
            <w:right w:val="none" w:sz="0" w:space="0" w:color="auto"/>
          </w:divBdr>
        </w:div>
      </w:divsChild>
    </w:div>
    <w:div w:id="20461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1061/(ASCE)LA.1943-4170.00005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B549-4383-43A8-AB2C-37E2E4F5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Wilis</dc:creator>
  <cp:keywords/>
  <dc:description/>
  <cp:lastModifiedBy>Ratna Wilis</cp:lastModifiedBy>
  <cp:revision>1</cp:revision>
  <dcterms:created xsi:type="dcterms:W3CDTF">2023-07-20T03:56:00Z</dcterms:created>
  <dcterms:modified xsi:type="dcterms:W3CDTF">2023-07-20T04:04:00Z</dcterms:modified>
</cp:coreProperties>
</file>