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09" w:rsidRDefault="00A42F09"/>
    <w:p w:rsidR="00A42F09" w:rsidRPr="003C2292" w:rsidRDefault="00A42F09" w:rsidP="003C2292">
      <w:pPr>
        <w:jc w:val="both"/>
        <w:rPr>
          <w:rFonts w:ascii="Arial" w:hAnsi="Arial" w:cs="Arial"/>
          <w:sz w:val="24"/>
          <w:szCs w:val="24"/>
        </w:rPr>
      </w:pPr>
      <w:r w:rsidRPr="003C2292">
        <w:rPr>
          <w:rFonts w:ascii="Arial" w:hAnsi="Arial" w:cs="Arial"/>
          <w:sz w:val="24"/>
          <w:szCs w:val="24"/>
        </w:rPr>
        <w:t xml:space="preserve">Title: </w:t>
      </w:r>
    </w:p>
    <w:p w:rsidR="001E5A8A" w:rsidRPr="003C2292" w:rsidRDefault="001E5A8A" w:rsidP="003C2292">
      <w:pPr>
        <w:jc w:val="both"/>
        <w:rPr>
          <w:rFonts w:ascii="Arial" w:hAnsi="Arial" w:cs="Arial"/>
          <w:bCs/>
          <w:sz w:val="24"/>
          <w:szCs w:val="24"/>
        </w:rPr>
      </w:pPr>
      <w:bookmarkStart w:id="0" w:name="_Hlk143595906"/>
      <w:bookmarkStart w:id="1" w:name="_GoBack"/>
      <w:r w:rsidRPr="003C2292">
        <w:rPr>
          <w:rFonts w:ascii="Arial" w:hAnsi="Arial" w:cs="Arial"/>
          <w:bCs/>
          <w:sz w:val="24"/>
          <w:szCs w:val="24"/>
        </w:rPr>
        <w:t>Does expert judgement is important in mining industry? A systematic literature review study</w:t>
      </w:r>
    </w:p>
    <w:bookmarkEnd w:id="0"/>
    <w:bookmarkEnd w:id="1"/>
    <w:p w:rsidR="00A42F09" w:rsidRPr="003C2292" w:rsidRDefault="00A42F09" w:rsidP="003C2292">
      <w:pPr>
        <w:jc w:val="both"/>
        <w:rPr>
          <w:rFonts w:ascii="Arial" w:hAnsi="Arial" w:cs="Arial"/>
          <w:b/>
          <w:sz w:val="24"/>
          <w:szCs w:val="24"/>
        </w:rPr>
      </w:pPr>
    </w:p>
    <w:p w:rsidR="00A42F09" w:rsidRPr="003C2292" w:rsidRDefault="00A42F09" w:rsidP="003C2292">
      <w:pPr>
        <w:jc w:val="both"/>
        <w:rPr>
          <w:rFonts w:ascii="Arial" w:hAnsi="Arial" w:cs="Arial"/>
          <w:b/>
          <w:sz w:val="24"/>
          <w:szCs w:val="24"/>
        </w:rPr>
      </w:pPr>
      <w:r w:rsidRPr="003C2292">
        <w:rPr>
          <w:rFonts w:ascii="Arial" w:hAnsi="Arial" w:cs="Arial"/>
          <w:b/>
          <w:sz w:val="24"/>
          <w:szCs w:val="24"/>
        </w:rPr>
        <w:t xml:space="preserve">Author: </w:t>
      </w:r>
    </w:p>
    <w:p w:rsidR="00A42F09" w:rsidRPr="003C2292" w:rsidRDefault="00A42F09" w:rsidP="003C2292">
      <w:pPr>
        <w:jc w:val="both"/>
        <w:rPr>
          <w:rFonts w:ascii="Arial" w:hAnsi="Arial" w:cs="Arial"/>
          <w:bCs/>
          <w:sz w:val="24"/>
          <w:szCs w:val="24"/>
        </w:rPr>
      </w:pPr>
      <w:r w:rsidRPr="003C2292">
        <w:rPr>
          <w:rFonts w:ascii="Arial" w:hAnsi="Arial" w:cs="Arial"/>
          <w:bCs/>
          <w:sz w:val="24"/>
          <w:szCs w:val="24"/>
        </w:rPr>
        <w:t xml:space="preserve">Siti </w:t>
      </w:r>
      <w:proofErr w:type="spellStart"/>
      <w:r w:rsidRPr="003C2292">
        <w:rPr>
          <w:rFonts w:ascii="Arial" w:hAnsi="Arial" w:cs="Arial"/>
          <w:bCs/>
          <w:sz w:val="24"/>
          <w:szCs w:val="24"/>
        </w:rPr>
        <w:t>Noraishah</w:t>
      </w:r>
      <w:proofErr w:type="spellEnd"/>
      <w:r w:rsidRPr="003C2292">
        <w:rPr>
          <w:rFonts w:ascii="Arial" w:hAnsi="Arial" w:cs="Arial"/>
          <w:bCs/>
          <w:sz w:val="24"/>
          <w:szCs w:val="24"/>
        </w:rPr>
        <w:t xml:space="preserve"> Ismail; </w:t>
      </w:r>
      <w:proofErr w:type="spellStart"/>
      <w:r w:rsidRPr="003C2292">
        <w:rPr>
          <w:rFonts w:ascii="Arial" w:hAnsi="Arial" w:cs="Arial"/>
          <w:bCs/>
          <w:sz w:val="24"/>
          <w:szCs w:val="24"/>
        </w:rPr>
        <w:t>Azizan</w:t>
      </w:r>
      <w:proofErr w:type="spellEnd"/>
      <w:r w:rsidRPr="003C2292">
        <w:rPr>
          <w:rFonts w:ascii="Arial" w:hAnsi="Arial" w:cs="Arial"/>
          <w:bCs/>
          <w:sz w:val="24"/>
          <w:szCs w:val="24"/>
        </w:rPr>
        <w:t xml:space="preserve"> Ramli</w:t>
      </w:r>
      <w:r w:rsidR="0052268C" w:rsidRPr="003C2292">
        <w:rPr>
          <w:rFonts w:ascii="Arial" w:hAnsi="Arial" w:cs="Arial"/>
          <w:bCs/>
          <w:sz w:val="24"/>
          <w:szCs w:val="24"/>
        </w:rPr>
        <w:t xml:space="preserve">; </w:t>
      </w:r>
      <w:proofErr w:type="spellStart"/>
      <w:r w:rsidR="0052268C" w:rsidRPr="003C2292">
        <w:rPr>
          <w:rFonts w:ascii="Arial" w:hAnsi="Arial" w:cs="Arial"/>
          <w:bCs/>
          <w:sz w:val="24"/>
          <w:szCs w:val="24"/>
        </w:rPr>
        <w:t>Hanida</w:t>
      </w:r>
      <w:proofErr w:type="spellEnd"/>
      <w:r w:rsidR="0052268C" w:rsidRPr="003C2292">
        <w:rPr>
          <w:rFonts w:ascii="Arial" w:hAnsi="Arial" w:cs="Arial"/>
          <w:bCs/>
          <w:sz w:val="24"/>
          <w:szCs w:val="24"/>
        </w:rPr>
        <w:t xml:space="preserve"> Abdul Aziz</w:t>
      </w:r>
    </w:p>
    <w:p w:rsidR="00A42F09" w:rsidRPr="003C2292" w:rsidRDefault="00A42F09" w:rsidP="003C2292">
      <w:pPr>
        <w:jc w:val="both"/>
        <w:rPr>
          <w:rFonts w:ascii="Arial" w:hAnsi="Arial" w:cs="Arial"/>
          <w:bCs/>
          <w:sz w:val="24"/>
          <w:szCs w:val="24"/>
        </w:rPr>
      </w:pPr>
    </w:p>
    <w:p w:rsidR="00A42F09" w:rsidRPr="003C2292" w:rsidRDefault="00A42F09" w:rsidP="003C2292">
      <w:pPr>
        <w:jc w:val="both"/>
        <w:rPr>
          <w:rFonts w:ascii="Arial" w:hAnsi="Arial" w:cs="Arial"/>
          <w:b/>
          <w:bCs/>
          <w:sz w:val="24"/>
          <w:szCs w:val="24"/>
        </w:rPr>
      </w:pPr>
      <w:r w:rsidRPr="003C2292">
        <w:rPr>
          <w:rFonts w:ascii="Arial" w:hAnsi="Arial" w:cs="Arial"/>
          <w:b/>
          <w:bCs/>
          <w:sz w:val="24"/>
          <w:szCs w:val="24"/>
        </w:rPr>
        <w:t xml:space="preserve">Abstract: </w:t>
      </w:r>
    </w:p>
    <w:p w:rsidR="00A42F09" w:rsidRPr="003C2292" w:rsidRDefault="0052268C" w:rsidP="003C2292">
      <w:pPr>
        <w:jc w:val="both"/>
        <w:rPr>
          <w:rFonts w:ascii="Arial" w:hAnsi="Arial" w:cs="Arial"/>
          <w:bCs/>
          <w:sz w:val="24"/>
          <w:szCs w:val="24"/>
        </w:rPr>
      </w:pPr>
      <w:r w:rsidRPr="003C2292">
        <w:rPr>
          <w:rFonts w:ascii="Arial" w:hAnsi="Arial" w:cs="Arial"/>
          <w:bCs/>
          <w:sz w:val="24"/>
          <w:szCs w:val="24"/>
        </w:rPr>
        <w:t xml:space="preserve">The Delphi technique is used to achieve consensus from a panel of experts on particular issues by several series or rounds. Previous scholars widely used Delphi in social science studies, business, healthcare, education and many more. However, there is a lack of systematic review on the contribution of Delphi in the engineering and technology field of research. Thus, the aims of this systematic literature review (SLR) are to investigate the contribution of Delphi in solving problems for the past 11 years in the mining industry and to understand the future outlook of Delphi in the Malaysian mining industry. By applying the Preferred Reporting Items for Systematic Reviews and Meta-Analyses (PRISMA), 37 selected papers were identified with three main themes and 24 subthemes created using thematic analysis. Based on the findings, the most highlighted contribution of Delphi came from Theme 3: Delphi’s derivatives (50.0%), followed by Theme 1: Mine lifecycle (12.5%), and Theme 2: Analysis of Delphi (37.5 %). In conclusion, an SLR could hopefully increase awareness among mining players to use Delphi in solving their problems which cannot be solved by machinery or tools in achieving a consensus among </w:t>
      </w:r>
      <w:proofErr w:type="spellStart"/>
      <w:proofErr w:type="gramStart"/>
      <w:r w:rsidRPr="003C2292">
        <w:rPr>
          <w:rFonts w:ascii="Arial" w:hAnsi="Arial" w:cs="Arial"/>
          <w:bCs/>
          <w:sz w:val="24"/>
          <w:szCs w:val="24"/>
        </w:rPr>
        <w:t>experts.</w:t>
      </w:r>
      <w:r w:rsidR="00A42F09" w:rsidRPr="003C2292">
        <w:rPr>
          <w:rFonts w:ascii="Arial" w:hAnsi="Arial" w:cs="Arial"/>
          <w:bCs/>
          <w:sz w:val="24"/>
          <w:szCs w:val="24"/>
        </w:rPr>
        <w:t>Keywords</w:t>
      </w:r>
      <w:proofErr w:type="spellEnd"/>
      <w:proofErr w:type="gramEnd"/>
      <w:r w:rsidR="00A42F09" w:rsidRPr="003C2292">
        <w:rPr>
          <w:rFonts w:ascii="Arial" w:hAnsi="Arial" w:cs="Arial"/>
          <w:bCs/>
          <w:sz w:val="24"/>
          <w:szCs w:val="24"/>
        </w:rPr>
        <w:t>:</w:t>
      </w:r>
    </w:p>
    <w:p w:rsidR="003C2292" w:rsidRDefault="003C2292" w:rsidP="003C2292">
      <w:pPr>
        <w:jc w:val="both"/>
        <w:rPr>
          <w:rFonts w:ascii="Arial" w:hAnsi="Arial" w:cs="Arial"/>
          <w:b/>
          <w:bCs/>
          <w:sz w:val="24"/>
          <w:szCs w:val="24"/>
        </w:rPr>
      </w:pPr>
    </w:p>
    <w:p w:rsidR="003C2292" w:rsidRPr="003C2292" w:rsidRDefault="003C2292" w:rsidP="003C2292">
      <w:pPr>
        <w:jc w:val="both"/>
        <w:rPr>
          <w:rFonts w:ascii="Arial" w:hAnsi="Arial" w:cs="Arial"/>
          <w:b/>
          <w:bCs/>
          <w:sz w:val="24"/>
          <w:szCs w:val="24"/>
        </w:rPr>
      </w:pPr>
      <w:r w:rsidRPr="003C2292">
        <w:rPr>
          <w:rFonts w:ascii="Arial" w:hAnsi="Arial" w:cs="Arial"/>
          <w:b/>
          <w:bCs/>
          <w:sz w:val="24"/>
          <w:szCs w:val="24"/>
        </w:rPr>
        <w:t>Keywords: </w:t>
      </w:r>
    </w:p>
    <w:p w:rsidR="00A42F09" w:rsidRPr="003C2292" w:rsidRDefault="003C2292" w:rsidP="003C2292">
      <w:pPr>
        <w:jc w:val="both"/>
        <w:rPr>
          <w:rFonts w:ascii="Arial" w:hAnsi="Arial" w:cs="Arial"/>
          <w:bCs/>
          <w:sz w:val="24"/>
          <w:szCs w:val="24"/>
        </w:rPr>
      </w:pPr>
      <w:r w:rsidRPr="003C2292">
        <w:rPr>
          <w:rFonts w:ascii="Arial" w:hAnsi="Arial" w:cs="Arial"/>
          <w:bCs/>
          <w:sz w:val="24"/>
          <w:szCs w:val="24"/>
        </w:rPr>
        <w:t>Delphi technique, Mining disaster, Mining industry, Meta-Analyses, Systematic literature review</w:t>
      </w:r>
    </w:p>
    <w:p w:rsidR="00A42F09" w:rsidRPr="003C2292" w:rsidRDefault="00A42F09" w:rsidP="003C2292">
      <w:pPr>
        <w:jc w:val="both"/>
        <w:rPr>
          <w:rFonts w:ascii="Arial" w:hAnsi="Arial" w:cs="Arial"/>
          <w:sz w:val="24"/>
          <w:szCs w:val="24"/>
        </w:rPr>
      </w:pPr>
    </w:p>
    <w:p w:rsidR="003C2292" w:rsidRPr="003C2292" w:rsidRDefault="003C2292" w:rsidP="003C2292">
      <w:pPr>
        <w:jc w:val="both"/>
        <w:rPr>
          <w:rFonts w:ascii="Arial" w:hAnsi="Arial" w:cs="Arial"/>
          <w:b/>
          <w:bCs/>
        </w:rPr>
      </w:pPr>
      <w:r w:rsidRPr="003C2292">
        <w:rPr>
          <w:rFonts w:ascii="Arial" w:hAnsi="Arial" w:cs="Arial"/>
          <w:b/>
          <w:bCs/>
        </w:rPr>
        <w:t>REFERENCES</w:t>
      </w:r>
    </w:p>
    <w:p w:rsidR="003C2292" w:rsidRPr="003C2292" w:rsidRDefault="003C2292" w:rsidP="003C2292">
      <w:pPr>
        <w:jc w:val="both"/>
        <w:rPr>
          <w:rFonts w:ascii="Arial" w:hAnsi="Arial" w:cs="Arial"/>
        </w:rPr>
      </w:pPr>
      <w:r w:rsidRPr="003C2292">
        <w:rPr>
          <w:rFonts w:ascii="Arial" w:hAnsi="Arial" w:cs="Arial"/>
        </w:rPr>
        <w:t xml:space="preserve">Abdul </w:t>
      </w:r>
      <w:proofErr w:type="spellStart"/>
      <w:r w:rsidRPr="003C2292">
        <w:rPr>
          <w:rFonts w:ascii="Arial" w:hAnsi="Arial" w:cs="Arial"/>
        </w:rPr>
        <w:t>Shukor</w:t>
      </w:r>
      <w:proofErr w:type="spellEnd"/>
      <w:r w:rsidRPr="003C2292">
        <w:rPr>
          <w:rFonts w:ascii="Arial" w:hAnsi="Arial" w:cs="Arial"/>
        </w:rPr>
        <w:t xml:space="preserve">, S., &amp; Hussain, S. (2019). Factors Influencing the Effective Leadership Succession Planning: Study on A Malaysian GLC. </w:t>
      </w:r>
      <w:proofErr w:type="spellStart"/>
      <w:r w:rsidRPr="003C2292">
        <w:rPr>
          <w:rFonts w:ascii="Arial" w:hAnsi="Arial" w:cs="Arial"/>
        </w:rPr>
        <w:t>KnE</w:t>
      </w:r>
      <w:proofErr w:type="spellEnd"/>
      <w:r w:rsidRPr="003C2292">
        <w:rPr>
          <w:rFonts w:ascii="Arial" w:hAnsi="Arial" w:cs="Arial"/>
        </w:rPr>
        <w:t xml:space="preserve"> Social Sciences, 3(1), 24–43. </w:t>
      </w:r>
      <w:hyperlink r:id="rId5" w:history="1">
        <w:r w:rsidRPr="003C2292">
          <w:rPr>
            <w:rStyle w:val="Hyperlink"/>
            <w:rFonts w:ascii="Arial" w:hAnsi="Arial" w:cs="Arial"/>
          </w:rPr>
          <w:t>https://doi.org/10.18502/kss.v3i22.5106</w:t>
        </w:r>
      </w:hyperlink>
    </w:p>
    <w:p w:rsidR="003C2292" w:rsidRPr="003C2292" w:rsidRDefault="003C2292" w:rsidP="003C2292">
      <w:pPr>
        <w:jc w:val="both"/>
        <w:rPr>
          <w:rFonts w:ascii="Arial" w:hAnsi="Arial" w:cs="Arial"/>
        </w:rPr>
      </w:pPr>
      <w:r w:rsidRPr="003C2292">
        <w:rPr>
          <w:rFonts w:ascii="Arial" w:hAnsi="Arial" w:cs="Arial"/>
        </w:rPr>
        <w:t xml:space="preserve">Ahmed, M. F., </w:t>
      </w:r>
      <w:proofErr w:type="spellStart"/>
      <w:r w:rsidRPr="003C2292">
        <w:rPr>
          <w:rFonts w:ascii="Arial" w:hAnsi="Arial" w:cs="Arial"/>
        </w:rPr>
        <w:t>Alam</w:t>
      </w:r>
      <w:proofErr w:type="spellEnd"/>
      <w:r w:rsidRPr="003C2292">
        <w:rPr>
          <w:rFonts w:ascii="Arial" w:hAnsi="Arial" w:cs="Arial"/>
        </w:rPr>
        <w:t>, L., Mohamed, C. A. R., Mokhtar, M. Bin, &amp; Ta, G. C. (2018). Health risk of polonium 210 ingestion via drinking water: An experience of Malaysia. International Journal of Environmental Research and Public Health, 15(10), 1–19. </w:t>
      </w:r>
      <w:hyperlink r:id="rId6" w:history="1">
        <w:r w:rsidRPr="003C2292">
          <w:rPr>
            <w:rStyle w:val="Hyperlink"/>
            <w:rFonts w:ascii="Arial" w:hAnsi="Arial" w:cs="Arial"/>
          </w:rPr>
          <w:t>https://doi.org/10.3390/ijerph15102056</w:t>
        </w:r>
      </w:hyperlink>
    </w:p>
    <w:p w:rsidR="003C2292" w:rsidRPr="003C2292" w:rsidRDefault="003C2292" w:rsidP="003C2292">
      <w:pPr>
        <w:jc w:val="both"/>
        <w:rPr>
          <w:rFonts w:ascii="Arial" w:hAnsi="Arial" w:cs="Arial"/>
        </w:rPr>
      </w:pPr>
      <w:proofErr w:type="spellStart"/>
      <w:r w:rsidRPr="003C2292">
        <w:rPr>
          <w:rFonts w:ascii="Arial" w:hAnsi="Arial" w:cs="Arial"/>
        </w:rPr>
        <w:lastRenderedPageBreak/>
        <w:t>Aigbavboa</w:t>
      </w:r>
      <w:proofErr w:type="spellEnd"/>
      <w:r w:rsidRPr="003C2292">
        <w:rPr>
          <w:rFonts w:ascii="Arial" w:hAnsi="Arial" w:cs="Arial"/>
        </w:rPr>
        <w:t xml:space="preserve">, C. (2015). A Delphi technique approach of identifying and validating </w:t>
      </w:r>
      <w:proofErr w:type="spellStart"/>
      <w:r w:rsidRPr="003C2292">
        <w:rPr>
          <w:rFonts w:ascii="Arial" w:hAnsi="Arial" w:cs="Arial"/>
        </w:rPr>
        <w:t>subsidised</w:t>
      </w:r>
      <w:proofErr w:type="spellEnd"/>
      <w:r w:rsidRPr="003C2292">
        <w:rPr>
          <w:rFonts w:ascii="Arial" w:hAnsi="Arial" w:cs="Arial"/>
        </w:rPr>
        <w:t xml:space="preserve"> low-income housing satisfaction indicators. OTMC Conference, 1–10</w:t>
      </w:r>
    </w:p>
    <w:p w:rsidR="003C2292" w:rsidRPr="003C2292" w:rsidRDefault="003C2292" w:rsidP="003C2292">
      <w:pPr>
        <w:jc w:val="both"/>
        <w:rPr>
          <w:rFonts w:ascii="Arial" w:hAnsi="Arial" w:cs="Arial"/>
        </w:rPr>
      </w:pPr>
      <w:r w:rsidRPr="003C2292">
        <w:rPr>
          <w:rFonts w:ascii="Arial" w:hAnsi="Arial" w:cs="Arial"/>
        </w:rPr>
        <w:t>Alvarez-García, B., &amp; Fernández-Castro, A. S. (2018). A comprehensive approach for the selection of a portfolio of interdependent projects. An application to subsidized projects in Spain. Computers and Industrial Engineering, 118(May 2017), 153–159. </w:t>
      </w:r>
      <w:hyperlink r:id="rId7" w:history="1">
        <w:r w:rsidRPr="003C2292">
          <w:rPr>
            <w:rStyle w:val="Hyperlink"/>
            <w:rFonts w:ascii="Arial" w:hAnsi="Arial" w:cs="Arial"/>
          </w:rPr>
          <w:t>https://doi.org/10.1016/j.cie.2018.02.025</w:t>
        </w:r>
      </w:hyperlink>
    </w:p>
    <w:p w:rsidR="00A42F09" w:rsidRPr="003C2292" w:rsidRDefault="00A42F09" w:rsidP="003C2292">
      <w:pPr>
        <w:jc w:val="both"/>
        <w:rPr>
          <w:rFonts w:ascii="Arial" w:hAnsi="Arial" w:cs="Arial"/>
        </w:rPr>
      </w:pPr>
    </w:p>
    <w:p w:rsidR="00A42F09" w:rsidRPr="003C2292" w:rsidRDefault="00A42F09" w:rsidP="003C2292">
      <w:pPr>
        <w:jc w:val="both"/>
        <w:rPr>
          <w:rFonts w:ascii="Arial" w:hAnsi="Arial" w:cs="Arial"/>
        </w:rPr>
      </w:pPr>
    </w:p>
    <w:sectPr w:rsidR="00A42F09" w:rsidRPr="003C2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D4E97"/>
    <w:multiLevelType w:val="multilevel"/>
    <w:tmpl w:val="9B5E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E6428"/>
    <w:multiLevelType w:val="multilevel"/>
    <w:tmpl w:val="5994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09"/>
    <w:rsid w:val="001E5A8A"/>
    <w:rsid w:val="003979A4"/>
    <w:rsid w:val="003C2292"/>
    <w:rsid w:val="0052268C"/>
    <w:rsid w:val="00A4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0092"/>
  <w15:chartTrackingRefBased/>
  <w15:docId w15:val="{5B91F3D4-44C3-492B-A5CC-15B275CD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42F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F0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42F0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42F09"/>
    <w:rPr>
      <w:color w:val="0563C1" w:themeColor="hyperlink"/>
      <w:u w:val="single"/>
    </w:rPr>
  </w:style>
  <w:style w:type="character" w:styleId="UnresolvedMention">
    <w:name w:val="Unresolved Mention"/>
    <w:basedOn w:val="DefaultParagraphFont"/>
    <w:uiPriority w:val="99"/>
    <w:semiHidden/>
    <w:unhideWhenUsed/>
    <w:rsid w:val="00A4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9627">
      <w:bodyDiv w:val="1"/>
      <w:marLeft w:val="0"/>
      <w:marRight w:val="0"/>
      <w:marTop w:val="0"/>
      <w:marBottom w:val="0"/>
      <w:divBdr>
        <w:top w:val="none" w:sz="0" w:space="0" w:color="auto"/>
        <w:left w:val="none" w:sz="0" w:space="0" w:color="auto"/>
        <w:bottom w:val="none" w:sz="0" w:space="0" w:color="auto"/>
        <w:right w:val="none" w:sz="0" w:space="0" w:color="auto"/>
      </w:divBdr>
    </w:div>
    <w:div w:id="794443027">
      <w:bodyDiv w:val="1"/>
      <w:marLeft w:val="0"/>
      <w:marRight w:val="0"/>
      <w:marTop w:val="0"/>
      <w:marBottom w:val="0"/>
      <w:divBdr>
        <w:top w:val="none" w:sz="0" w:space="0" w:color="auto"/>
        <w:left w:val="none" w:sz="0" w:space="0" w:color="auto"/>
        <w:bottom w:val="none" w:sz="0" w:space="0" w:color="auto"/>
        <w:right w:val="none" w:sz="0" w:space="0" w:color="auto"/>
      </w:divBdr>
      <w:divsChild>
        <w:div w:id="1321928425">
          <w:marLeft w:val="0"/>
          <w:marRight w:val="0"/>
          <w:marTop w:val="0"/>
          <w:marBottom w:val="600"/>
          <w:divBdr>
            <w:top w:val="none" w:sz="0" w:space="0" w:color="auto"/>
            <w:left w:val="none" w:sz="0" w:space="0" w:color="auto"/>
            <w:bottom w:val="none" w:sz="0" w:space="0" w:color="auto"/>
            <w:right w:val="none" w:sz="0" w:space="0" w:color="auto"/>
          </w:divBdr>
          <w:divsChild>
            <w:div w:id="19919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417">
      <w:bodyDiv w:val="1"/>
      <w:marLeft w:val="0"/>
      <w:marRight w:val="0"/>
      <w:marTop w:val="0"/>
      <w:marBottom w:val="0"/>
      <w:divBdr>
        <w:top w:val="none" w:sz="0" w:space="0" w:color="auto"/>
        <w:left w:val="none" w:sz="0" w:space="0" w:color="auto"/>
        <w:bottom w:val="none" w:sz="0" w:space="0" w:color="auto"/>
        <w:right w:val="none" w:sz="0" w:space="0" w:color="auto"/>
      </w:divBdr>
    </w:div>
    <w:div w:id="1263605523">
      <w:bodyDiv w:val="1"/>
      <w:marLeft w:val="0"/>
      <w:marRight w:val="0"/>
      <w:marTop w:val="0"/>
      <w:marBottom w:val="0"/>
      <w:divBdr>
        <w:top w:val="none" w:sz="0" w:space="0" w:color="auto"/>
        <w:left w:val="none" w:sz="0" w:space="0" w:color="auto"/>
        <w:bottom w:val="none" w:sz="0" w:space="0" w:color="auto"/>
        <w:right w:val="none" w:sz="0" w:space="0" w:color="auto"/>
      </w:divBdr>
    </w:div>
    <w:div w:id="1446273063">
      <w:bodyDiv w:val="1"/>
      <w:marLeft w:val="0"/>
      <w:marRight w:val="0"/>
      <w:marTop w:val="0"/>
      <w:marBottom w:val="0"/>
      <w:divBdr>
        <w:top w:val="none" w:sz="0" w:space="0" w:color="auto"/>
        <w:left w:val="none" w:sz="0" w:space="0" w:color="auto"/>
        <w:bottom w:val="none" w:sz="0" w:space="0" w:color="auto"/>
        <w:right w:val="none" w:sz="0" w:space="0" w:color="auto"/>
      </w:divBdr>
    </w:div>
    <w:div w:id="1627814208">
      <w:bodyDiv w:val="1"/>
      <w:marLeft w:val="0"/>
      <w:marRight w:val="0"/>
      <w:marTop w:val="0"/>
      <w:marBottom w:val="0"/>
      <w:divBdr>
        <w:top w:val="none" w:sz="0" w:space="0" w:color="auto"/>
        <w:left w:val="none" w:sz="0" w:space="0" w:color="auto"/>
        <w:bottom w:val="none" w:sz="0" w:space="0" w:color="auto"/>
        <w:right w:val="none" w:sz="0" w:space="0" w:color="auto"/>
      </w:divBdr>
    </w:div>
    <w:div w:id="17210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cie.2018.02.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ijerph15102056" TargetMode="External"/><Relationship Id="rId5" Type="http://schemas.openxmlformats.org/officeDocument/2006/relationships/hyperlink" Target="https://doi.org/10.18502/kss.v3i22.51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WILIS HARYATI BINTI MUSTAPA.</dc:creator>
  <cp:keywords/>
  <dc:description/>
  <cp:lastModifiedBy>RATNA WILIS HARYATI BINTI MUSTAPA.</cp:lastModifiedBy>
  <cp:revision>3</cp:revision>
  <dcterms:created xsi:type="dcterms:W3CDTF">2023-08-22T01:15:00Z</dcterms:created>
  <dcterms:modified xsi:type="dcterms:W3CDTF">2023-08-22T03:28:00Z</dcterms:modified>
</cp:coreProperties>
</file>